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743"/>
        <w:jc w:val="right"/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Приложение № 2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ind w:firstLine="743"/>
        <w:jc w:val="right"/>
        <w:spacing w:after="0" w:line="240" w:lineRule="auto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ind w:firstLine="709"/>
        <w:jc w:val="center"/>
        <w:spacing w:after="0" w:afterAutospacing="0" w:line="240" w:lineRule="auto"/>
      </w:pPr>
      <w:r>
        <w:rPr>
          <w:rFonts w:ascii="Times New Roman" w:hAnsi="Times New Roman" w:cs="Times New Roman"/>
          <w:b/>
          <w:sz w:val="24"/>
          <w:szCs w:val="24"/>
        </w:rPr>
        <w:t xml:space="preserve">ОПИСАНИЕ </w:t>
      </w:r>
      <w:r>
        <w:rPr>
          <w:rFonts w:ascii="Times New Roman" w:hAnsi="Times New Roman" w:cs="Times New Roman"/>
          <w:b/>
          <w:sz w:val="24"/>
          <w:szCs w:val="24"/>
        </w:rPr>
        <w:t xml:space="preserve">ПРЕДМЕТА</w:t>
      </w:r>
      <w:r>
        <w:rPr>
          <w:rFonts w:ascii="Times New Roman" w:hAnsi="Times New Roman" w:cs="Times New Roman"/>
          <w:b/>
          <w:sz w:val="24"/>
          <w:szCs w:val="24"/>
        </w:rPr>
        <w:t xml:space="preserve"> ЗАКУПКИ</w:t>
      </w:r>
      <w:r/>
    </w:p>
    <w:p>
      <w:pPr>
        <w:ind w:firstLine="709"/>
        <w:jc w:val="center"/>
        <w:spacing w:after="0" w:afterAutospacing="0" w:line="240" w:lineRule="auto"/>
        <w:rPr>
          <w:b/>
          <w:bCs/>
          <w:highlight w:val="none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Поставка онлайн-касс</w:t>
      </w:r>
      <w:r>
        <w:rPr>
          <w:rFonts w:ascii="Times New Roman" w:hAnsi="Times New Roman" w:cs="Times New Roman"/>
          <w:b/>
          <w:sz w:val="24"/>
          <w:szCs w:val="24"/>
        </w:rPr>
        <w:t xml:space="preserve"> и фискальных накопителей с ключом активации</w:t>
      </w:r>
      <w:r>
        <w:rPr>
          <w:rFonts w:ascii="Times New Roman" w:hAnsi="Times New Roman" w:cs="Times New Roman"/>
          <w:b/>
          <w:sz w:val="24"/>
          <w:szCs w:val="24"/>
        </w:rPr>
        <w:t xml:space="preserve"> на платформе ОФД</w:t>
      </w:r>
      <w:r>
        <w:rPr>
          <w:b/>
          <w:bCs/>
          <w:highlight w:val="none"/>
        </w:rPr>
      </w:r>
      <w:r>
        <w:rPr>
          <w:b/>
          <w:bCs/>
          <w:highlight w:val="none"/>
        </w:rPr>
      </w:r>
    </w:p>
    <w:p>
      <w:pPr>
        <w:ind w:firstLine="708"/>
        <w:jc w:val="both"/>
        <w:spacing w:after="0" w:afterAutospacing="0" w:line="240" w:lineRule="auto"/>
        <w:rPr>
          <w:rFonts w:ascii="Times New Roman" w:hAnsi="Times New Roman" w:cs="Times New Roman"/>
          <w:sz w:val="24"/>
          <w:szCs w:val="24"/>
          <w:highlight w:val="none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  <w:t xml:space="preserve">1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  <w:t xml:space="preserve">. Место поставки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  <w:t xml:space="preserve">: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г. Новосибирск,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у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  <w:lang w:eastAsia="ru-RU"/>
        </w:rPr>
        <w:t xml:space="preserve">л.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highlight w:val="none"/>
          <w:lang w:eastAsia="ru-RU"/>
        </w:rPr>
        <w:t xml:space="preserve">Тимирязева 71</w:t>
      </w:r>
      <w:r>
        <w:rPr>
          <w:rFonts w:ascii="Times New Roman" w:hAnsi="Times New Roman" w:cs="Times New Roman"/>
          <w:sz w:val="24"/>
          <w:szCs w:val="24"/>
          <w:highlight w:val="none"/>
        </w:rPr>
      </w:r>
      <w:r>
        <w:rPr>
          <w:rFonts w:ascii="Times New Roman" w:hAnsi="Times New Roman" w:cs="Times New Roman"/>
          <w:sz w:val="24"/>
          <w:szCs w:val="24"/>
          <w:highlight w:val="none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Срок поставки: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в течение 15 (пятнадцати) календарных дней с даты</w:t>
      </w:r>
      <w:r>
        <w:rPr>
          <w:rFonts w:ascii="Times New Roman" w:hAnsi="Times New Roman" w:cs="Times New Roman"/>
          <w:sz w:val="24"/>
          <w:szCs w:val="24"/>
          <w:highlight w:val="none"/>
          <w:lang w:eastAsia="ar-SA"/>
        </w:rPr>
        <w:t xml:space="preserve"> заключения Договора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ar-SA"/>
        </w:rPr>
      </w:r>
      <w:r>
        <w:rPr>
          <w:rFonts w:ascii="Times New Roman" w:hAnsi="Times New Roman" w:cs="Times New Roman"/>
          <w:sz w:val="24"/>
          <w:szCs w:val="24"/>
          <w:lang w:eastAsia="ar-SA"/>
        </w:rPr>
      </w:r>
    </w:p>
    <w:p>
      <w:pPr>
        <w:ind w:firstLine="708"/>
        <w:jc w:val="both"/>
        <w:spacing w:after="0"/>
        <w:rPr>
          <w:rFonts w:ascii="Times New Roman" w:hAnsi="Times New Roman" w:eastAsia="Times New Roman" w:cs="font295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font295"/>
          <w:b/>
          <w:sz w:val="24"/>
          <w:szCs w:val="24"/>
          <w:lang w:eastAsia="ru-RU"/>
        </w:rPr>
        <w:t xml:space="preserve">3</w:t>
      </w:r>
      <w:r>
        <w:rPr>
          <w:rFonts w:ascii="Times New Roman" w:hAnsi="Times New Roman" w:eastAsia="Times New Roman" w:cs="font295"/>
          <w:b/>
          <w:sz w:val="24"/>
          <w:szCs w:val="24"/>
          <w:lang w:eastAsia="ru-RU"/>
        </w:rPr>
        <w:t xml:space="preserve">. Требования</w:t>
      </w:r>
      <w:r>
        <w:rPr>
          <w:rFonts w:ascii="Times New Roman" w:hAnsi="Times New Roman" w:eastAsia="Times New Roman" w:cs="font295"/>
          <w:b/>
          <w:sz w:val="24"/>
          <w:szCs w:val="24"/>
          <w:lang w:eastAsia="ru-RU"/>
        </w:rPr>
        <w:t xml:space="preserve"> к </w:t>
      </w:r>
      <w:r>
        <w:rPr>
          <w:rFonts w:ascii="Times New Roman" w:hAnsi="Times New Roman" w:eastAsia="Times New Roman" w:cs="font295"/>
          <w:b/>
          <w:sz w:val="24"/>
          <w:szCs w:val="24"/>
          <w:lang w:eastAsia="ru-RU"/>
        </w:rPr>
        <w:t xml:space="preserve">функциональным, техническим (</w:t>
      </w:r>
      <w:r>
        <w:rPr>
          <w:rFonts w:ascii="Times New Roman" w:hAnsi="Times New Roman" w:eastAsia="Times New Roman" w:cs="font295"/>
          <w:b/>
          <w:sz w:val="24"/>
          <w:szCs w:val="24"/>
          <w:lang w:eastAsia="ru-RU"/>
        </w:rPr>
        <w:t xml:space="preserve">качественным</w:t>
      </w:r>
      <w:r>
        <w:rPr>
          <w:rFonts w:ascii="Times New Roman" w:hAnsi="Times New Roman" w:eastAsia="Times New Roman" w:cs="font295"/>
          <w:b/>
          <w:sz w:val="24"/>
          <w:szCs w:val="24"/>
          <w:lang w:eastAsia="ru-RU"/>
        </w:rPr>
        <w:t xml:space="preserve">)</w:t>
      </w:r>
      <w:r>
        <w:rPr>
          <w:rFonts w:ascii="Times New Roman" w:hAnsi="Times New Roman" w:eastAsia="Times New Roman" w:cs="font295"/>
          <w:b/>
          <w:sz w:val="24"/>
          <w:szCs w:val="24"/>
          <w:lang w:eastAsia="ru-RU"/>
        </w:rPr>
        <w:t xml:space="preserve"> характеристикам товара</w:t>
      </w:r>
      <w:r>
        <w:rPr>
          <w:rFonts w:ascii="Times New Roman" w:hAnsi="Times New Roman" w:eastAsia="Times New Roman" w:cs="font295"/>
          <w:b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font295"/>
          <w:b/>
          <w:bCs/>
          <w:sz w:val="24"/>
          <w:szCs w:val="24"/>
          <w:lang w:eastAsia="ru-RU"/>
        </w:rPr>
      </w:r>
    </w:p>
    <w:p>
      <w:pPr>
        <w:ind w:firstLine="708"/>
        <w:jc w:val="right"/>
        <w:spacing w:after="0"/>
        <w:rPr>
          <w:rFonts w:ascii="Times New Roman" w:hAnsi="Times New Roman" w:eastAsia="Times New Roman" w:cs="font295"/>
          <w:b/>
          <w:bCs/>
          <w:sz w:val="24"/>
          <w:szCs w:val="24"/>
          <w:highlight w:val="none"/>
          <w:lang w:eastAsia="ru-RU"/>
        </w:rPr>
      </w:pPr>
      <w:r>
        <w:rPr>
          <w:rFonts w:ascii="Times New Roman" w:hAnsi="Times New Roman" w:eastAsia="Times New Roman" w:cs="font295"/>
          <w:b/>
          <w:sz w:val="24"/>
          <w:szCs w:val="24"/>
          <w:lang w:eastAsia="ru-RU"/>
        </w:rPr>
        <w:t xml:space="preserve">Таблица №1</w:t>
      </w:r>
      <w:r>
        <w:rPr>
          <w:rFonts w:ascii="Times New Roman" w:hAnsi="Times New Roman" w:eastAsia="Times New Roman" w:cs="font295"/>
          <w:b/>
          <w:bCs/>
          <w:sz w:val="24"/>
          <w:szCs w:val="24"/>
          <w:highlight w:val="none"/>
          <w:lang w:eastAsia="ru-RU"/>
        </w:rPr>
      </w:r>
      <w:r>
        <w:rPr>
          <w:rFonts w:ascii="Times New Roman" w:hAnsi="Times New Roman" w:eastAsia="Times New Roman" w:cs="font295"/>
          <w:b/>
          <w:bCs/>
          <w:sz w:val="24"/>
          <w:szCs w:val="24"/>
          <w:highlight w:val="none"/>
          <w:lang w:eastAsia="ru-RU"/>
        </w:rPr>
      </w:r>
    </w:p>
    <w:tbl>
      <w:tblPr>
        <w:tblStyle w:val="726"/>
        <w:tblW w:w="10349" w:type="dxa"/>
        <w:tblInd w:w="189" w:type="dxa"/>
        <w:tblLayout w:type="fixed"/>
        <w:tblLook w:val="04A0" w:firstRow="1" w:lastRow="0" w:firstColumn="1" w:lastColumn="0" w:noHBand="0" w:noVBand="1"/>
      </w:tblPr>
      <w:tblGrid>
        <w:gridCol w:w="504"/>
        <w:gridCol w:w="1678"/>
        <w:gridCol w:w="859"/>
        <w:gridCol w:w="1286"/>
        <w:gridCol w:w="2108"/>
        <w:gridCol w:w="795"/>
        <w:gridCol w:w="1461"/>
        <w:gridCol w:w="1658"/>
      </w:tblGrid>
      <w:tr>
        <w:tblPrEx/>
        <w:trPr/>
        <w:tc>
          <w:tcPr>
            <w:tcW w:w="50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№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/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tcW w:w="167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Наименование товара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tcW w:w="8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Ед. изм.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tcW w:w="128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Количество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gridSpan w:val="4"/>
            <w:tcW w:w="6022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Показатели, позволяющие определить соответствие закупаемого товара установленным заказчиком требованиям (характеристики объекта закупки)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</w:tr>
      <w:tr>
        <w:tblPrEx/>
        <w:trPr>
          <w:trHeight w:val="509"/>
        </w:trPr>
        <w:tc>
          <w:tcPr>
            <w:tcW w:w="504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tcW w:w="167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tcW w:w="85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tcW w:w="1286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tcW w:w="210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Наименование показателя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tcW w:w="79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Ед. изм.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gridSpan w:val="2"/>
            <w:tcW w:w="311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Значение показателя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</w:tr>
      <w:tr>
        <w:tblPrEx/>
        <w:trPr/>
        <w:tc>
          <w:tcPr>
            <w:tcW w:w="504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678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859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1286" w:type="dxa"/>
            <w:vMerge w:val="continue"/>
            <w:textDirection w:val="lrTb"/>
            <w:noWrap w:val="false"/>
          </w:tcPr>
          <w:p>
            <w:pPr>
              <w:jc w:val="center"/>
            </w:pPr>
            <w:r/>
            <w:r/>
          </w:p>
        </w:tc>
        <w:tc>
          <w:tcPr>
            <w:tcW w:w="2108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tcW w:w="795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tcW w:w="146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Значение показателя товара, которое не может изменяться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tcW w:w="165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Минимальные и (или) максимальные значения показателей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</w:tr>
      <w:tr>
        <w:tblPrEx/>
        <w:trPr/>
        <w:tc>
          <w:tcPr>
            <w:tcW w:w="50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tcW w:w="167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tcW w:w="859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3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tcW w:w="128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tcW w:w="21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tcW w:w="795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6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tcW w:w="146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7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tcW w:w="165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8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</w:tr>
      <w:tr>
        <w:tblPrEx/>
        <w:trPr/>
        <w:tc>
          <w:tcPr>
            <w:tcW w:w="50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67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Онлайн-касса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шт.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28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none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1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Тип устройства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79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6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Смарт-терминал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65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50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6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28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1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Поддержка маркировки (Честный знак)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79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6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Наличие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65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50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6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28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108" w:type="dxa"/>
            <w:vAlign w:val="center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Соответствие законодательству </w:t>
            </w:r>
            <w:r>
              <w:rPr>
                <w:rFonts w:ascii="Times New Roman" w:hAnsi="Times New Roman" w:eastAsia="Times New Roman" w:cs="Times New Roman"/>
                <w:color w:val="191817"/>
                <w:sz w:val="20"/>
                <w:szCs w:val="20"/>
                <w:highlight w:val="white"/>
              </w:rPr>
              <w:t xml:space="preserve">54ФЗ, ЕГАИС, платформа ОФД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</w:rPr>
            </w:r>
            <w:r/>
          </w:p>
        </w:tc>
        <w:tc>
          <w:tcPr>
            <w:tcW w:w="79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61" w:type="dxa"/>
            <w:vAlign w:val="center"/>
            <w:textDirection w:val="lrTb"/>
            <w:noWrap w:val="false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Наличие</w:t>
            </w:r>
            <w:r/>
            <w:r/>
            <w:r/>
          </w:p>
        </w:tc>
        <w:tc>
          <w:tcPr>
            <w:tcW w:w="165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50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6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28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1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Дисплей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79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6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6.5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”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65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50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6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28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1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Разрешение экрана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79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6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720 x 1600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65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50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6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28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1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Плотность экрана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79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DPI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6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65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320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50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6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28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1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Операционная система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79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6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Android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65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50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6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28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1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Объём оперативной памяти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79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Гб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6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65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2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50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6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28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1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Объём накопителя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79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Гб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6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65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32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50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</w:r>
          </w:p>
        </w:tc>
        <w:tc>
          <w:tcPr>
            <w:tcW w:w="16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</w:r>
          </w:p>
        </w:tc>
        <w:tc>
          <w:tcPr>
            <w:tcW w:w="8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</w:r>
          </w:p>
        </w:tc>
        <w:tc>
          <w:tcPr>
            <w:tcW w:w="128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</w:r>
          </w:p>
        </w:tc>
        <w:tc>
          <w:tcPr>
            <w:tcW w:w="21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Дополнительная память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79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6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Micro SD до 128GB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65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50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6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28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1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Навигация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79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6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GPS/A-GPS/Beidou/GLONASS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</w:r>
          </w:p>
        </w:tc>
        <w:tc>
          <w:tcPr>
            <w:tcW w:w="165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</w:r>
          </w:p>
        </w:tc>
      </w:tr>
      <w:tr>
        <w:tblPrEx/>
        <w:trPr/>
        <w:tc>
          <w:tcPr>
            <w:tcW w:w="50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6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28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1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Тип печа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т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и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</w:r>
          </w:p>
        </w:tc>
        <w:tc>
          <w:tcPr>
            <w:tcW w:w="79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</w:r>
          </w:p>
        </w:tc>
        <w:tc>
          <w:tcPr>
            <w:tcW w:w="146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Термопечат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ь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</w:r>
          </w:p>
        </w:tc>
        <w:tc>
          <w:tcPr>
            <w:tcW w:w="165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</w:r>
          </w:p>
        </w:tc>
      </w:tr>
      <w:tr>
        <w:tblPrEx/>
        <w:trPr/>
        <w:tc>
          <w:tcPr>
            <w:tcW w:w="50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6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28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1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Скорость печати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</w:r>
          </w:p>
        </w:tc>
        <w:tc>
          <w:tcPr>
            <w:tcW w:w="79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мм/с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</w:r>
          </w:p>
        </w:tc>
        <w:tc>
          <w:tcPr>
            <w:tcW w:w="146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</w:r>
          </w:p>
        </w:tc>
        <w:tc>
          <w:tcPr>
            <w:tcW w:w="165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70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50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6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28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1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Ширина печатной ленты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</w:r>
          </w:p>
        </w:tc>
        <w:tc>
          <w:tcPr>
            <w:tcW w:w="79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6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57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</w:r>
          </w:p>
        </w:tc>
        <w:tc>
          <w:tcPr>
            <w:tcW w:w="165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</w:r>
          </w:p>
        </w:tc>
      </w:tr>
      <w:tr>
        <w:tblPrEx/>
        <w:trPr/>
        <w:tc>
          <w:tcPr>
            <w:tcW w:w="50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6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28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1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Сканер штрих-кодов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</w:r>
          </w:p>
        </w:tc>
        <w:tc>
          <w:tcPr>
            <w:tcW w:w="79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</w:r>
          </w:p>
        </w:tc>
        <w:tc>
          <w:tcPr>
            <w:tcW w:w="146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встроенный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65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504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tcW w:w="1678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tcW w:w="859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tcW w:w="1286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tcW w:w="210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Принтер чеков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</w:r>
          </w:p>
        </w:tc>
        <w:tc>
          <w:tcPr>
            <w:tcW w:w="79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</w:r>
          </w:p>
        </w:tc>
        <w:tc>
          <w:tcPr>
            <w:tcW w:w="146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встроенный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65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504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tcW w:w="1678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tcW w:w="859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tcW w:w="1286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tcW w:w="210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Поддерживаемые беспроводные сети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79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6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Wi-Fi, Bluetooth 5.0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65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504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tcW w:w="1678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tcW w:w="859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tcW w:w="1286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tcW w:w="210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USB-портов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79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6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 type-C (для зарядки/передачи данных)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65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504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tcW w:w="1678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tcW w:w="859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tcW w:w="1286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tcW w:w="210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Резак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79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6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Наличие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65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504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tcW w:w="1678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tcW w:w="859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tcW w:w="1286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tcW w:w="210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Электропитание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79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6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1м USB C — USB A кабель, 5V/2A сетевой адаптер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65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504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tcW w:w="1678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tcW w:w="859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tcW w:w="1286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tcW w:w="210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Тип аккумулятора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79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6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Li-ion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65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504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tcW w:w="1678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tcW w:w="859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tcW w:w="1286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tcW w:w="210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Емкость аккумулятора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79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мАч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6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65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2500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504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tcW w:w="1678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tcW w:w="859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tcW w:w="1286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tcW w:w="210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Время автономной работы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79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часов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6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65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12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504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tcW w:w="1678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tcW w:w="859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tcW w:w="1286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tcW w:w="210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Габаритные размеры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79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6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65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более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187*80*55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504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tcW w:w="1678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tcW w:w="859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tcW w:w="1286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tcW w:w="210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Поддержка мобильного интернета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79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</w:r>
          </w:p>
        </w:tc>
        <w:tc>
          <w:tcPr>
            <w:tcW w:w="146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Наличие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65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</w:r>
          </w:p>
        </w:tc>
      </w:tr>
      <w:tr>
        <w:tblPrEx/>
        <w:trPr/>
        <w:tc>
          <w:tcPr>
            <w:tcW w:w="504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tcW w:w="1678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tcW w:w="859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tcW w:w="1286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tcW w:w="210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Вес без сетевого адаптера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</w:r>
          </w:p>
        </w:tc>
        <w:tc>
          <w:tcPr>
            <w:tcW w:w="79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грамм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6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65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более 450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504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tcW w:w="1678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tcW w:w="859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tcW w:w="1286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tcW w:w="210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Встроенный модуль для приёма оплаты картами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79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6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Банковскими картами с чипом, с NFC модулем, магнитной лентой, платежными стикерами, Mir Pay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65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504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tcW w:w="1678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tcW w:w="859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tcW w:w="1286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tcW w:w="210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Дополнительные интерфейсы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79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6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 type-C (для питания и для передачи данных)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65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504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tcW w:w="1678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tcW w:w="859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tcW w:w="1286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tcW w:w="210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Время непрерывной работы (от электросети)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79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часов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6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65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16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504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tcW w:w="1678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tcW w:w="859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tcW w:w="1286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tcW w:w="210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Средняя наработка на отказ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79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часов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6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65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3000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504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tcW w:w="1678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tcW w:w="859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tcW w:w="1286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tcW w:w="210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Срок службы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79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лет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6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65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3-х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504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tcW w:w="1678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tcW w:w="859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tcW w:w="1286" w:type="dxa"/>
            <w:vAlign w:val="center"/>
            <w:vMerge w:val="continue"/>
            <w:textDirection w:val="lrTb"/>
            <w:noWrap w:val="false"/>
          </w:tcPr>
          <w:p>
            <w:r/>
          </w:p>
        </w:tc>
        <w:tc>
          <w:tcPr>
            <w:tcW w:w="210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Ресурс печатающего устройства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79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км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6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65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50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tcW w:w="50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r/>
            <w:r/>
          </w:p>
        </w:tc>
        <w:tc>
          <w:tcPr>
            <w:tcW w:w="167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Фискальный накопитель с ключом активации на платформе ОФД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r/>
            <w:r/>
          </w:p>
        </w:tc>
        <w:tc>
          <w:tcPr>
            <w:tcW w:w="8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шт.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r/>
            <w:r/>
          </w:p>
        </w:tc>
        <w:tc>
          <w:tcPr>
            <w:tcW w:w="128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14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r/>
            <w:r/>
          </w:p>
        </w:tc>
        <w:tc>
          <w:tcPr>
            <w:tcW w:w="21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месяцев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79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мес.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6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15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658" w:type="dxa"/>
            <w:vAlign w:val="center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W w:w="50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6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28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1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Система налогообложения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79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6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ОСН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658" w:type="dxa"/>
            <w:vAlign w:val="center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W w:w="50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6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28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1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Совместим со всеми кассами из реестра ФНС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79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6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Наличие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658" w:type="dxa"/>
            <w:vAlign w:val="center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W w:w="50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67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859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28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21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Поддержка всех форматов фискальных документов (1.05, 1.1М, 1.2)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79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6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Наличие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658" w:type="dxa"/>
            <w:vAlign w:val="center"/>
            <w:textDirection w:val="lrTb"/>
            <w:noWrap w:val="false"/>
          </w:tcPr>
          <w:p>
            <w:r/>
            <w:r/>
          </w:p>
        </w:tc>
      </w:tr>
      <w:tr>
        <w:tblPrEx/>
        <w:trPr/>
        <w:tc>
          <w:tcPr>
            <w:tcW w:w="504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678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859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1286" w:type="dxa"/>
            <w:vAlign w:val="center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210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Поддержка маркировки (Честный знак)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79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46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Наличие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W w:w="1658" w:type="dxa"/>
            <w:vAlign w:val="center"/>
            <w:textDirection w:val="lrTb"/>
            <w:noWrap w:val="false"/>
          </w:tcPr>
          <w:p>
            <w:r/>
            <w:r/>
          </w:p>
        </w:tc>
      </w:tr>
    </w:tbl>
    <w:p>
      <w:pPr>
        <w:ind w:firstLine="708"/>
        <w:jc w:val="both"/>
        <w:spacing w:after="0"/>
      </w:pPr>
      <w:r>
        <w:rPr>
          <w:rFonts w:ascii="Times New Roman" w:hAnsi="Times New Roman" w:eastAsia="Times New Roman" w:cs="font295"/>
          <w:b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</w:r>
      <w:r/>
    </w:p>
    <w:p>
      <w:pPr>
        <w:contextualSpacing w:val="0"/>
        <w:ind w:left="0" w:right="0" w:firstLine="567"/>
        <w:jc w:val="both"/>
        <w:spacing w:before="0" w:after="23" w:line="240" w:lineRule="auto"/>
        <w:rPr>
          <w:rFonts w:ascii="Times New Roman" w:hAnsi="Times New Roman" w:cs="Times New Roman"/>
          <w:b w:val="0"/>
          <w:bCs w:val="0"/>
          <w:sz w:val="24"/>
          <w:szCs w:val="24"/>
        </w:rPr>
        <w:suppressLineNumbers w:val="0"/>
      </w:pPr>
      <w:r>
        <w:rPr>
          <w:rFonts w:ascii="Times New Roman" w:hAnsi="Times New Roman" w:cs="Times New Roman"/>
          <w:b/>
          <w:sz w:val="24"/>
          <w:szCs w:val="24"/>
        </w:rPr>
        <w:t xml:space="preserve">4. 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Фискальные накопители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долж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ны: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contextualSpacing w:val="0"/>
        <w:ind w:left="0" w:right="0" w:firstLine="567"/>
        <w:jc w:val="both"/>
        <w:spacing w:before="0" w:after="23" w:line="240" w:lineRule="auto"/>
        <w:rPr>
          <w:rFonts w:ascii="Times New Roman" w:hAnsi="Times New Roman" w:cs="Times New Roman"/>
          <w:b w:val="0"/>
          <w:bCs w:val="0"/>
          <w:sz w:val="24"/>
          <w:szCs w:val="24"/>
        </w:rPr>
        <w:suppressLineNumbers w:val="0"/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- иметь сертификат соответстви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я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, соответствовать всем требованиям установленным Федеральным законом №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54-ФЗ</w:t>
      </w:r>
      <w:r>
        <w:rPr>
          <w:b w:val="0"/>
          <w:bCs w:val="0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от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22.05.2003 года «О применении контрольно-кассовой технике при осуществлении расчетов в Российской Федерации»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,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contextualSpacing w:val="0"/>
        <w:ind w:left="0" w:right="0" w:firstLine="567"/>
        <w:jc w:val="both"/>
        <w:spacing w:before="0" w:after="23" w:line="240" w:lineRule="auto"/>
        <w:rPr>
          <w:rFonts w:ascii="Times New Roman" w:hAnsi="Times New Roman" w:cs="Times New Roman"/>
          <w:b w:val="0"/>
          <w:bCs w:val="0"/>
          <w:sz w:val="24"/>
          <w:szCs w:val="24"/>
        </w:rPr>
        <w:suppressLineNumbers w:val="0"/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– быть включены в реестр фискальных накопителей согласно приказа ФНС России от 22.02.2018 №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Е</w:t>
      </w:r>
      <w:bookmarkStart w:id="0" w:name="undefined"/>
      <w:r>
        <w:rPr>
          <w:b w:val="0"/>
          <w:bCs w:val="0"/>
        </w:rPr>
      </w:r>
      <w:bookmarkEnd w:id="0"/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Д-7-20/33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contextualSpacing w:val="0"/>
        <w:ind w:left="0" w:right="0" w:firstLine="567"/>
        <w:jc w:val="both"/>
        <w:spacing w:before="0" w:after="23" w:line="240" w:lineRule="auto"/>
        <w:rPr>
          <w:highlight w:val="none"/>
        </w:rPr>
        <w:suppressLineNumbers w:val="0"/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- соответствовать требованиям ГОСТ Р 34.12-2015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и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 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установленным порядком допущены к эксплуатации ФСБ России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в составе ККТ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.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Данный факт должен быть подтвержден предоставлением заводского паспорт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ФН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.</w:t>
      </w:r>
      <w:r>
        <w:rPr>
          <w:highlight w:val="none"/>
        </w:rPr>
      </w:r>
      <w:r>
        <w:rPr>
          <w:highlight w:val="none"/>
        </w:rPr>
      </w:r>
    </w:p>
    <w:p>
      <w:pPr>
        <w:contextualSpacing w:val="0"/>
        <w:ind w:left="0" w:right="0" w:firstLine="567"/>
        <w:jc w:val="both"/>
        <w:spacing w:before="0" w:after="23" w:line="240" w:lineRule="auto"/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  <w:suppressLineNumbers w:val="0"/>
      </w:pPr>
      <w:r>
        <w:rPr>
          <w:highlight w:val="none"/>
        </w:rPr>
        <w:t xml:space="preserve"> – 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  <w:t xml:space="preserve">соответствовать требованиям </w:t>
      </w:r>
      <w:r>
        <w:rPr>
          <w:rFonts w:ascii="Times New Roman" w:hAnsi="Times New Roman" w:eastAsia="Times New Roman" w:cs="Times New Roman"/>
          <w:sz w:val="24"/>
          <w:szCs w:val="24"/>
          <w:highlight w:val="none"/>
        </w:rPr>
        <w:t xml:space="preserve">Приказа Федеральной налоговой службы от 26 марта 2025 г. № ЕД-7-20/236@ “О внесении изменений в приказ Федеральной налоговой службы от 14.09.2020 N ЕД-7-20/662@”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highlight w:val="white"/>
        </w:rPr>
        <w:t xml:space="preserve">Об утверждении дополнительных реквизитов фискальных документов и форматов фискальных документов, обязательных к использованию"</w:t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</w:rPr>
      </w:r>
    </w:p>
    <w:p>
      <w:pPr>
        <w:ind w:left="0" w:right="0" w:firstLine="567"/>
        <w:jc w:val="both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ind w:left="0" w:right="0" w:firstLine="567"/>
        <w:jc w:val="both"/>
        <w:spacing w:after="0" w:line="240" w:lineRule="auto"/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5.  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Нормативная документация, регламентирующая использование онлайн-касс:</w:t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  <w:highlight w:val="none"/>
        </w:rPr>
      </w:r>
    </w:p>
    <w:p>
      <w:pPr>
        <w:pStyle w:val="886"/>
        <w:ind w:left="0" w:right="0" w:firstLine="567"/>
        <w:jc w:val="both"/>
        <w:widowControl/>
        <w:rPr>
          <w:rFonts w:ascii="Times New Roman" w:hAnsi="Times New Roman" w:eastAsia="Calibri" w:cs="Times New Roman"/>
          <w:b w:val="0"/>
          <w:bCs w:val="0"/>
          <w:sz w:val="24"/>
          <w:szCs w:val="24"/>
          <w:lang w:eastAsia="en-US"/>
        </w:rPr>
      </w:pPr>
      <w:r>
        <w:rPr>
          <w:rFonts w:ascii="Times New Roman" w:hAnsi="Times New Roman" w:eastAsia="Calibri" w:cs="Times New Roman"/>
          <w:b w:val="0"/>
          <w:bCs w:val="0"/>
          <w:sz w:val="24"/>
          <w:szCs w:val="24"/>
          <w:lang w:eastAsia="en-US"/>
        </w:rPr>
        <w:t xml:space="preserve"> </w:t>
        <w:tab/>
        <w:t xml:space="preserve"> - Федеральный закон №</w:t>
      </w:r>
      <w:r>
        <w:rPr>
          <w:rFonts w:ascii="Times New Roman" w:hAnsi="Times New Roman" w:eastAsia="Calibri" w:cs="Times New Roman"/>
          <w:b w:val="0"/>
          <w:bCs w:val="0"/>
          <w:sz w:val="24"/>
          <w:szCs w:val="24"/>
          <w:lang w:eastAsia="en-US"/>
        </w:rPr>
        <w:t xml:space="preserve"> </w:t>
      </w:r>
      <w:r>
        <w:rPr>
          <w:rFonts w:ascii="Times New Roman" w:hAnsi="Times New Roman" w:eastAsia="Calibri" w:cs="Times New Roman"/>
          <w:b w:val="0"/>
          <w:bCs w:val="0"/>
          <w:sz w:val="24"/>
          <w:szCs w:val="24"/>
          <w:lang w:eastAsia="en-US"/>
        </w:rPr>
        <w:t xml:space="preserve">54-ФЗ от 22.05.2003 года «</w:t>
      </w:r>
      <w:r>
        <w:rPr>
          <w:rFonts w:ascii="Times New Roman" w:hAnsi="Times New Roman" w:eastAsia="Calibri" w:cs="Times New Roman"/>
          <w:b w:val="0"/>
          <w:bCs w:val="0"/>
          <w:sz w:val="24"/>
          <w:szCs w:val="24"/>
          <w:lang w:eastAsia="en-US"/>
        </w:rPr>
        <w:t xml:space="preserve">О</w:t>
      </w:r>
      <w:r>
        <w:rPr>
          <w:rFonts w:ascii="Times New Roman" w:hAnsi="Times New Roman" w:eastAsia="Calibri" w:cs="Times New Roman"/>
          <w:b w:val="0"/>
          <w:bCs w:val="0"/>
          <w:sz w:val="24"/>
          <w:szCs w:val="24"/>
          <w:lang w:eastAsia="en-US"/>
        </w:rPr>
        <w:t xml:space="preserve"> применении контрольно-кассовой технике при осуществлении расчетов </w:t>
      </w:r>
      <w:r>
        <w:rPr>
          <w:rFonts w:ascii="Times New Roman" w:hAnsi="Times New Roman" w:eastAsia="Calibri" w:cs="Times New Roman"/>
          <w:b w:val="0"/>
          <w:bCs w:val="0"/>
          <w:sz w:val="24"/>
          <w:szCs w:val="24"/>
          <w:lang w:eastAsia="en-US"/>
        </w:rPr>
        <w:t xml:space="preserve">в Российской Федерации</w:t>
      </w:r>
      <w:r>
        <w:rPr>
          <w:rFonts w:ascii="Times New Roman" w:hAnsi="Times New Roman" w:eastAsia="Calibri" w:cs="Times New Roman"/>
          <w:b w:val="0"/>
          <w:bCs w:val="0"/>
          <w:sz w:val="24"/>
          <w:szCs w:val="24"/>
          <w:lang w:eastAsia="en-US"/>
        </w:rPr>
        <w:t xml:space="preserve">».</w:t>
      </w:r>
      <w:r>
        <w:rPr>
          <w:rFonts w:ascii="Times New Roman" w:hAnsi="Times New Roman" w:eastAsia="Calibri" w:cs="Times New Roman"/>
          <w:b w:val="0"/>
          <w:bCs w:val="0"/>
          <w:sz w:val="24"/>
          <w:szCs w:val="24"/>
          <w:lang w:eastAsia="en-US"/>
        </w:rPr>
      </w:r>
      <w:r>
        <w:rPr>
          <w:rFonts w:ascii="Times New Roman" w:hAnsi="Times New Roman" w:eastAsia="Calibri" w:cs="Times New Roman"/>
          <w:b w:val="0"/>
          <w:bCs w:val="0"/>
          <w:sz w:val="24"/>
          <w:szCs w:val="24"/>
          <w:lang w:eastAsia="en-US"/>
        </w:rPr>
      </w:r>
    </w:p>
    <w:p>
      <w:pPr>
        <w:pStyle w:val="886"/>
        <w:ind w:left="0" w:right="0" w:firstLine="567"/>
        <w:jc w:val="both"/>
        <w:widowControl/>
        <w:rPr>
          <w:rFonts w:ascii="Times New Roman" w:hAnsi="Times New Roman" w:eastAsia="Calibri" w:cs="Times New Roman"/>
          <w:b w:val="0"/>
          <w:bCs w:val="0"/>
          <w:sz w:val="24"/>
          <w:szCs w:val="24"/>
          <w:highlight w:val="none"/>
          <w:lang w:eastAsia="en-US"/>
        </w:rPr>
      </w:pPr>
      <w:r>
        <w:rPr>
          <w:rFonts w:ascii="Times New Roman" w:hAnsi="Times New Roman" w:eastAsia="Calibri" w:cs="Times New Roman"/>
          <w:b w:val="0"/>
          <w:sz w:val="24"/>
          <w:szCs w:val="24"/>
        </w:rPr>
        <w:t xml:space="preserve"> - Положение о регистрации и применении контрольно-кассовой техники, используемой организациями и индивидуальными предпринимателями.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eastAsia="Calibri" w:cs="Times New Roman"/>
          <w:b w:val="0"/>
          <w:sz w:val="24"/>
          <w:szCs w:val="24"/>
        </w:rPr>
        <w:t xml:space="preserve">Постановление Правительства РФ №</w:t>
      </w:r>
      <w:r>
        <w:rPr>
          <w:rFonts w:ascii="Times New Roman" w:hAnsi="Times New Roman" w:eastAsia="Calibri" w:cs="Times New Roman"/>
          <w:b w:val="0"/>
          <w:sz w:val="24"/>
          <w:szCs w:val="24"/>
        </w:rPr>
        <w:t xml:space="preserve"> </w:t>
      </w:r>
      <w:r>
        <w:rPr>
          <w:rFonts w:ascii="Times New Roman" w:hAnsi="Times New Roman" w:eastAsia="Calibri" w:cs="Times New Roman"/>
          <w:b w:val="0"/>
          <w:sz w:val="24"/>
          <w:szCs w:val="24"/>
        </w:rPr>
        <w:t xml:space="preserve">470 от 23.07.2007 года.</w:t>
      </w:r>
      <w:r>
        <w:rPr>
          <w:rFonts w:ascii="Times New Roman" w:hAnsi="Times New Roman" w:eastAsia="Calibri" w:cs="Times New Roman"/>
          <w:b w:val="0"/>
          <w:bCs w:val="0"/>
          <w:sz w:val="24"/>
          <w:szCs w:val="24"/>
          <w:highlight w:val="none"/>
          <w:lang w:eastAsia="en-US"/>
        </w:rPr>
      </w:r>
      <w:r>
        <w:rPr>
          <w:rFonts w:ascii="Times New Roman" w:hAnsi="Times New Roman" w:eastAsia="Calibri" w:cs="Times New Roman"/>
          <w:b w:val="0"/>
          <w:bCs w:val="0"/>
          <w:sz w:val="24"/>
          <w:szCs w:val="24"/>
          <w:highlight w:val="none"/>
          <w:lang w:eastAsia="en-US"/>
        </w:rPr>
      </w:r>
    </w:p>
    <w:p>
      <w:pPr>
        <w:ind w:left="0" w:right="0" w:firstLine="567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Calibri" w:cs="Times New Roman"/>
          <w:b w:val="0"/>
          <w:bCs w:val="0"/>
          <w:sz w:val="24"/>
          <w:szCs w:val="24"/>
          <w:highlight w:val="none"/>
          <w:lang w:eastAsia="en-US"/>
        </w:rPr>
        <w:t xml:space="preserve"> </w:t>
      </w:r>
      <w:r>
        <w:rPr>
          <w:rFonts w:ascii="Times New Roman" w:hAnsi="Times New Roman" w:eastAsia="Times New Roman" w:cs="Times New Roman"/>
          <w:lang w:eastAsia="ru-RU"/>
        </w:rPr>
        <w:t xml:space="preserve"> - 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ТР ТС 004/2011 «О безопасности низковольтного оборудования», который утвержден решением Комиссии Таможенного союза от 16.08.2011 № 768.</w:t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ind w:left="0" w:right="0" w:firstLine="567"/>
        <w:jc w:val="both"/>
        <w:spacing w:after="0" w:line="259" w:lineRule="auto"/>
        <w:rPr>
          <w:rFonts w:ascii="Times New Roman" w:hAnsi="Times New Roman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 - ТР ТС 020/2011 «Электромагнитная совместимость технических средств», который утвержден решением Комиссии Таможенного союза от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0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9.12.2011 № 879.</w:t>
      </w:r>
      <w:r>
        <w:rPr>
          <w:rFonts w:ascii="Times New Roman" w:hAnsi="Times New Roman"/>
        </w:rPr>
      </w:r>
      <w:r>
        <w:rPr>
          <w:rFonts w:ascii="Times New Roman" w:hAnsi="Times New Roman"/>
        </w:rPr>
      </w:r>
    </w:p>
    <w:p>
      <w:pPr>
        <w:pStyle w:val="886"/>
        <w:ind w:left="0" w:right="0" w:firstLine="567"/>
        <w:jc w:val="both"/>
        <w:widowControl/>
        <w:rPr>
          <w:rFonts w:ascii="Times New Roman" w:hAnsi="Times New Roman" w:eastAsia="Calibri" w:cs="Times New Roman"/>
          <w:b w:val="0"/>
          <w:bCs w:val="0"/>
          <w:sz w:val="24"/>
          <w:szCs w:val="24"/>
          <w:lang w:eastAsia="en-US"/>
        </w:rPr>
      </w:pPr>
      <w:r>
        <w:rPr>
          <w:rFonts w:ascii="Times New Roman" w:hAnsi="Times New Roman" w:eastAsia="Calibri" w:cs="Times New Roman"/>
          <w:b w:val="0"/>
          <w:bCs w:val="0"/>
          <w:sz w:val="24"/>
          <w:szCs w:val="24"/>
          <w:highlight w:val="none"/>
          <w:lang w:eastAsia="en-US"/>
        </w:rPr>
      </w:r>
      <w:r>
        <w:rPr>
          <w:rFonts w:ascii="Times New Roman" w:hAnsi="Times New Roman" w:eastAsia="Calibri" w:cs="Times New Roman"/>
          <w:b w:val="0"/>
          <w:bCs w:val="0"/>
          <w:sz w:val="24"/>
          <w:szCs w:val="24"/>
          <w:lang w:eastAsia="en-US"/>
        </w:rPr>
      </w:r>
      <w:r>
        <w:rPr>
          <w:rFonts w:ascii="Times New Roman" w:hAnsi="Times New Roman" w:eastAsia="Calibri" w:cs="Times New Roman"/>
          <w:b w:val="0"/>
          <w:bCs w:val="0"/>
          <w:sz w:val="24"/>
          <w:szCs w:val="24"/>
          <w:lang w:eastAsia="en-US"/>
        </w:rPr>
      </w:r>
    </w:p>
    <w:p>
      <w:pPr>
        <w:pStyle w:val="886"/>
        <w:ind w:left="0" w:right="0" w:firstLine="567"/>
        <w:jc w:val="both"/>
        <w:widowControl/>
        <w:rPr>
          <w:rFonts w:ascii="Times New Roman" w:hAnsi="Times New Roman" w:cs="Times New Roman" w:eastAsiaTheme="minorHAnsi"/>
          <w:bCs w:val="0"/>
          <w:sz w:val="24"/>
          <w:szCs w:val="24"/>
          <w:lang w:eastAsia="en-US"/>
        </w:rPr>
      </w:pPr>
      <w:r>
        <w:rPr>
          <w:rFonts w:ascii="Times New Roman" w:hAnsi="Times New Roman" w:cs="Times New Roman" w:eastAsiaTheme="minorHAnsi"/>
          <w:bCs w:val="0"/>
          <w:sz w:val="24"/>
          <w:szCs w:val="24"/>
          <w:lang w:eastAsia="en-US"/>
        </w:rPr>
        <w:t xml:space="preserve">6.  </w:t>
      </w:r>
      <w:r>
        <w:rPr>
          <w:rFonts w:ascii="Times New Roman" w:hAnsi="Times New Roman" w:cs="Times New Roman" w:eastAsiaTheme="minorHAnsi"/>
          <w:b w:val="0"/>
          <w:bCs w:val="0"/>
          <w:sz w:val="24"/>
          <w:szCs w:val="24"/>
          <w:lang w:eastAsia="en-US"/>
        </w:rPr>
        <w:t xml:space="preserve">Требование к поставщику</w:t>
      </w:r>
      <w:r>
        <w:rPr>
          <w:rFonts w:ascii="Times New Roman" w:hAnsi="Times New Roman" w:cs="Times New Roman" w:eastAsiaTheme="minorHAnsi"/>
          <w:b w:val="0"/>
          <w:bCs w:val="0"/>
          <w:sz w:val="24"/>
          <w:szCs w:val="24"/>
          <w:lang w:eastAsia="en-US"/>
        </w:rPr>
        <w:t xml:space="preserve">:</w:t>
      </w:r>
      <w:r>
        <w:rPr>
          <w:rFonts w:ascii="Times New Roman" w:hAnsi="Times New Roman" w:cs="Times New Roman" w:eastAsiaTheme="minorHAnsi"/>
          <w:bCs w:val="0"/>
          <w:sz w:val="24"/>
          <w:szCs w:val="24"/>
          <w:lang w:eastAsia="en-US"/>
        </w:rPr>
      </w:r>
      <w:r>
        <w:rPr>
          <w:rFonts w:ascii="Times New Roman" w:hAnsi="Times New Roman" w:cs="Times New Roman" w:eastAsiaTheme="minorHAnsi"/>
          <w:bCs w:val="0"/>
          <w:sz w:val="24"/>
          <w:szCs w:val="24"/>
          <w:lang w:eastAsia="en-US"/>
        </w:rPr>
      </w:r>
    </w:p>
    <w:p>
      <w:pPr>
        <w:pStyle w:val="886"/>
        <w:ind w:left="0" w:right="0" w:firstLine="567"/>
        <w:jc w:val="both"/>
        <w:widowControl/>
        <w:rPr>
          <w:rFonts w:ascii="Times New Roman" w:hAnsi="Times New Roman" w:eastAsia="Calibri" w:cs="Times New Roman"/>
          <w:b w:val="0"/>
          <w:bCs w:val="0"/>
          <w:sz w:val="24"/>
          <w:szCs w:val="24"/>
          <w:highlight w:val="none"/>
        </w:rPr>
      </w:pPr>
      <w:r>
        <w:rPr>
          <w:rFonts w:ascii="Times New Roman" w:hAnsi="Times New Roman" w:eastAsia="Calibri" w:cs="Times New Roman"/>
          <w:b w:val="0"/>
          <w:sz w:val="24"/>
          <w:szCs w:val="24"/>
        </w:rPr>
        <w:t xml:space="preserve"> - Наличие </w:t>
      </w:r>
      <w:r>
        <w:rPr>
          <w:rFonts w:ascii="Times New Roman" w:hAnsi="Times New Roman" w:eastAsia="Calibri" w:cs="Times New Roman"/>
          <w:b w:val="0"/>
          <w:sz w:val="24"/>
          <w:szCs w:val="24"/>
        </w:rPr>
        <w:t xml:space="preserve">действующего свидетельства,</w:t>
      </w:r>
      <w:r>
        <w:rPr>
          <w:rFonts w:ascii="Times New Roman" w:hAnsi="Times New Roman" w:eastAsia="Calibri" w:cs="Times New Roman"/>
          <w:b w:val="0"/>
          <w:sz w:val="24"/>
          <w:szCs w:val="24"/>
        </w:rPr>
        <w:t xml:space="preserve"> удостоверяющего право на осуществление технического обслуживания ККТ в качестве центра технического обслуживания.</w:t>
      </w:r>
      <w:r>
        <w:rPr>
          <w:rFonts w:ascii="Times New Roman" w:hAnsi="Times New Roman" w:eastAsia="Calibri" w:cs="Times New Roman"/>
          <w:b w:val="0"/>
          <w:bCs w:val="0"/>
          <w:sz w:val="24"/>
          <w:szCs w:val="24"/>
          <w:highlight w:val="none"/>
        </w:rPr>
      </w:r>
      <w:r>
        <w:rPr>
          <w:rFonts w:ascii="Times New Roman" w:hAnsi="Times New Roman" w:eastAsia="Calibri" w:cs="Times New Roman"/>
          <w:b w:val="0"/>
          <w:bCs w:val="0"/>
          <w:sz w:val="24"/>
          <w:szCs w:val="24"/>
          <w:highlight w:val="none"/>
        </w:rPr>
      </w:r>
    </w:p>
    <w:p>
      <w:pPr>
        <w:pStyle w:val="886"/>
        <w:ind w:left="0" w:right="0" w:firstLine="567"/>
        <w:jc w:val="both"/>
        <w:widowControl/>
        <w:rPr>
          <w:rFonts w:ascii="Times New Roman" w:hAnsi="Times New Roman" w:eastAsia="Calibri" w:cs="Times New Roman"/>
          <w:b w:val="0"/>
          <w:bCs w:val="0"/>
          <w:sz w:val="24"/>
          <w:szCs w:val="24"/>
        </w:rPr>
      </w:pPr>
      <w:r>
        <w:rPr>
          <w:rFonts w:ascii="Times New Roman" w:hAnsi="Times New Roman" w:eastAsia="Calibri" w:cs="Times New Roman"/>
          <w:b w:val="0"/>
          <w:sz w:val="24"/>
          <w:szCs w:val="24"/>
          <w:highlight w:val="none"/>
        </w:rPr>
        <w:t xml:space="preserve"> – Наличие офиса по месту ведения деятельности Заказчика (город Новосибирск)</w:t>
      </w:r>
      <w:r>
        <w:rPr>
          <w:rFonts w:ascii="Times New Roman" w:hAnsi="Times New Roman" w:eastAsia="Calibri" w:cs="Times New Roman"/>
          <w:b w:val="0"/>
          <w:bCs w:val="0"/>
          <w:sz w:val="24"/>
          <w:szCs w:val="24"/>
        </w:rPr>
      </w:r>
      <w:r>
        <w:rPr>
          <w:rFonts w:ascii="Times New Roman" w:hAnsi="Times New Roman" w:eastAsia="Calibri" w:cs="Times New Roman"/>
          <w:b w:val="0"/>
          <w:bCs w:val="0"/>
          <w:sz w:val="24"/>
          <w:szCs w:val="24"/>
        </w:rPr>
      </w:r>
    </w:p>
    <w:p>
      <w:pPr>
        <w:ind w:left="0" w:right="0" w:firstLine="567"/>
        <w:jc w:val="both"/>
        <w:spacing w:after="29" w:line="200" w:lineRule="atLeas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sectPr>
      <w:footerReference w:type="default" r:id="rId9"/>
      <w:footerReference w:type="first" r:id="rId10"/>
      <w:footnotePr/>
      <w:endnotePr/>
      <w:type w:val="nextPage"/>
      <w:pgSz w:w="11906" w:h="16838" w:orient="portrait"/>
      <w:pgMar w:top="719" w:right="566" w:bottom="1013" w:left="993" w:header="720" w:footer="503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font295">
    <w:panose1 w:val="02040503050201020203"/>
  </w:font>
  <w:font w:name="Tahoma">
    <w:panose1 w:val="020B0604030504040204"/>
  </w:font>
  <w:font w:name="Courier New">
    <w:panose1 w:val="02070309020205020404"/>
  </w:font>
  <w:font w:name="Times New Roman">
    <w:panose1 w:val="02020603050405020304"/>
  </w:font>
  <w:font w:name="Microsoft YaHei">
    <w:panose1 w:val="020B0503020204020204"/>
  </w:font>
  <w:font w:name="Wingdings">
    <w:panose1 w:val="05000000000000000000"/>
  </w:font>
  <w:font w:name="Liberation Sans">
    <w:panose1 w:val="020B0604020202020204"/>
  </w:font>
  <w:font w:name="Calibri">
    <w:panose1 w:val="020F050202020403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84"/>
      <w:jc w:val="right"/>
    </w:pPr>
    <w:r>
      <w:fldChar w:fldCharType="begin"/>
    </w:r>
    <w:r>
      <w:instrText xml:space="preserve"> PAGE </w:instrText>
    </w:r>
    <w:r>
      <w:fldChar w:fldCharType="separate"/>
    </w:r>
    <w:r>
      <w:t xml:space="preserve">2</w:t>
    </w:r>
    <w:r>
      <w:fldChar w:fldCharType="end"/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  <w:tabs>
          <w:tab w:val="num" w:pos="108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  <w:tabs>
          <w:tab w:val="num" w:pos="18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  <w:tabs>
          <w:tab w:val="num" w:pos="25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  <w:tabs>
          <w:tab w:val="num" w:pos="32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  <w:tabs>
          <w:tab w:val="num" w:pos="39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  <w:tabs>
          <w:tab w:val="num" w:pos="46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  <w:tabs>
          <w:tab w:val="num" w:pos="54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  <w:tabs>
          <w:tab w:val="num" w:pos="612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353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073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93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13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33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953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673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93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13" w:hanging="360"/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417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2137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7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7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7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7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7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7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7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94">
    <w:name w:val="Heading 1"/>
    <w:basedOn w:val="870"/>
    <w:next w:val="870"/>
    <w:link w:val="69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95">
    <w:name w:val="Heading 1 Char"/>
    <w:basedOn w:val="871"/>
    <w:link w:val="694"/>
    <w:uiPriority w:val="9"/>
    <w:rPr>
      <w:rFonts w:ascii="Arial" w:hAnsi="Arial" w:eastAsia="Arial" w:cs="Arial"/>
      <w:sz w:val="40"/>
      <w:szCs w:val="40"/>
    </w:rPr>
  </w:style>
  <w:style w:type="paragraph" w:styleId="696">
    <w:name w:val="Heading 2"/>
    <w:basedOn w:val="870"/>
    <w:next w:val="870"/>
    <w:link w:val="69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7">
    <w:name w:val="Heading 2 Char"/>
    <w:basedOn w:val="871"/>
    <w:link w:val="696"/>
    <w:uiPriority w:val="9"/>
    <w:rPr>
      <w:rFonts w:ascii="Arial" w:hAnsi="Arial" w:eastAsia="Arial" w:cs="Arial"/>
      <w:sz w:val="34"/>
    </w:rPr>
  </w:style>
  <w:style w:type="paragraph" w:styleId="698">
    <w:name w:val="Heading 3"/>
    <w:basedOn w:val="870"/>
    <w:next w:val="870"/>
    <w:link w:val="69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9">
    <w:name w:val="Heading 3 Char"/>
    <w:basedOn w:val="871"/>
    <w:link w:val="698"/>
    <w:uiPriority w:val="9"/>
    <w:rPr>
      <w:rFonts w:ascii="Arial" w:hAnsi="Arial" w:eastAsia="Arial" w:cs="Arial"/>
      <w:sz w:val="30"/>
      <w:szCs w:val="30"/>
    </w:rPr>
  </w:style>
  <w:style w:type="paragraph" w:styleId="700">
    <w:name w:val="Heading 4"/>
    <w:basedOn w:val="870"/>
    <w:next w:val="870"/>
    <w:link w:val="70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01">
    <w:name w:val="Heading 4 Char"/>
    <w:basedOn w:val="871"/>
    <w:link w:val="700"/>
    <w:uiPriority w:val="9"/>
    <w:rPr>
      <w:rFonts w:ascii="Arial" w:hAnsi="Arial" w:eastAsia="Arial" w:cs="Arial"/>
      <w:b/>
      <w:bCs/>
      <w:sz w:val="26"/>
      <w:szCs w:val="26"/>
    </w:rPr>
  </w:style>
  <w:style w:type="paragraph" w:styleId="702">
    <w:name w:val="Heading 5"/>
    <w:basedOn w:val="870"/>
    <w:next w:val="870"/>
    <w:link w:val="70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03">
    <w:name w:val="Heading 5 Char"/>
    <w:basedOn w:val="871"/>
    <w:link w:val="702"/>
    <w:uiPriority w:val="9"/>
    <w:rPr>
      <w:rFonts w:ascii="Arial" w:hAnsi="Arial" w:eastAsia="Arial" w:cs="Arial"/>
      <w:b/>
      <w:bCs/>
      <w:sz w:val="24"/>
      <w:szCs w:val="24"/>
    </w:rPr>
  </w:style>
  <w:style w:type="paragraph" w:styleId="704">
    <w:name w:val="Heading 6"/>
    <w:basedOn w:val="870"/>
    <w:next w:val="870"/>
    <w:link w:val="70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05">
    <w:name w:val="Heading 6 Char"/>
    <w:basedOn w:val="871"/>
    <w:link w:val="704"/>
    <w:uiPriority w:val="9"/>
    <w:rPr>
      <w:rFonts w:ascii="Arial" w:hAnsi="Arial" w:eastAsia="Arial" w:cs="Arial"/>
      <w:b/>
      <w:bCs/>
      <w:sz w:val="22"/>
      <w:szCs w:val="22"/>
    </w:rPr>
  </w:style>
  <w:style w:type="paragraph" w:styleId="706">
    <w:name w:val="Heading 7"/>
    <w:basedOn w:val="870"/>
    <w:next w:val="870"/>
    <w:link w:val="70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7">
    <w:name w:val="Heading 7 Char"/>
    <w:basedOn w:val="871"/>
    <w:link w:val="70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8">
    <w:name w:val="Heading 8"/>
    <w:basedOn w:val="870"/>
    <w:next w:val="870"/>
    <w:link w:val="70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9">
    <w:name w:val="Heading 8 Char"/>
    <w:basedOn w:val="871"/>
    <w:link w:val="708"/>
    <w:uiPriority w:val="9"/>
    <w:rPr>
      <w:rFonts w:ascii="Arial" w:hAnsi="Arial" w:eastAsia="Arial" w:cs="Arial"/>
      <w:i/>
      <w:iCs/>
      <w:sz w:val="22"/>
      <w:szCs w:val="22"/>
    </w:rPr>
  </w:style>
  <w:style w:type="paragraph" w:styleId="710">
    <w:name w:val="Heading 9"/>
    <w:basedOn w:val="870"/>
    <w:next w:val="870"/>
    <w:link w:val="71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1">
    <w:name w:val="Heading 9 Char"/>
    <w:basedOn w:val="871"/>
    <w:link w:val="710"/>
    <w:uiPriority w:val="9"/>
    <w:rPr>
      <w:rFonts w:ascii="Arial" w:hAnsi="Arial" w:eastAsia="Arial" w:cs="Arial"/>
      <w:i/>
      <w:iCs/>
      <w:sz w:val="21"/>
      <w:szCs w:val="21"/>
    </w:rPr>
  </w:style>
  <w:style w:type="paragraph" w:styleId="712">
    <w:name w:val="List Paragraph"/>
    <w:basedOn w:val="870"/>
    <w:uiPriority w:val="34"/>
    <w:qFormat/>
    <w:pPr>
      <w:contextualSpacing/>
      <w:ind w:left="720"/>
    </w:pPr>
  </w:style>
  <w:style w:type="paragraph" w:styleId="713">
    <w:name w:val="No Spacing"/>
    <w:uiPriority w:val="1"/>
    <w:qFormat/>
    <w:pPr>
      <w:spacing w:before="0" w:after="0" w:line="240" w:lineRule="auto"/>
    </w:pPr>
  </w:style>
  <w:style w:type="paragraph" w:styleId="714">
    <w:name w:val="Title"/>
    <w:basedOn w:val="870"/>
    <w:next w:val="870"/>
    <w:link w:val="71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5">
    <w:name w:val="Title Char"/>
    <w:basedOn w:val="871"/>
    <w:link w:val="714"/>
    <w:uiPriority w:val="10"/>
    <w:rPr>
      <w:sz w:val="48"/>
      <w:szCs w:val="48"/>
    </w:rPr>
  </w:style>
  <w:style w:type="paragraph" w:styleId="716">
    <w:name w:val="Subtitle"/>
    <w:basedOn w:val="870"/>
    <w:next w:val="870"/>
    <w:link w:val="717"/>
    <w:uiPriority w:val="11"/>
    <w:qFormat/>
    <w:pPr>
      <w:spacing w:before="200" w:after="200"/>
    </w:pPr>
    <w:rPr>
      <w:sz w:val="24"/>
      <w:szCs w:val="24"/>
    </w:rPr>
  </w:style>
  <w:style w:type="character" w:styleId="717">
    <w:name w:val="Subtitle Char"/>
    <w:basedOn w:val="871"/>
    <w:link w:val="716"/>
    <w:uiPriority w:val="11"/>
    <w:rPr>
      <w:sz w:val="24"/>
      <w:szCs w:val="24"/>
    </w:rPr>
  </w:style>
  <w:style w:type="paragraph" w:styleId="718">
    <w:name w:val="Quote"/>
    <w:basedOn w:val="870"/>
    <w:next w:val="870"/>
    <w:link w:val="719"/>
    <w:uiPriority w:val="29"/>
    <w:qFormat/>
    <w:pPr>
      <w:ind w:left="720" w:right="720"/>
    </w:pPr>
    <w:rPr>
      <w:i/>
    </w:rPr>
  </w:style>
  <w:style w:type="character" w:styleId="719">
    <w:name w:val="Quote Char"/>
    <w:link w:val="718"/>
    <w:uiPriority w:val="29"/>
    <w:rPr>
      <w:i/>
    </w:rPr>
  </w:style>
  <w:style w:type="paragraph" w:styleId="720">
    <w:name w:val="Intense Quote"/>
    <w:basedOn w:val="870"/>
    <w:next w:val="870"/>
    <w:link w:val="72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1">
    <w:name w:val="Intense Quote Char"/>
    <w:link w:val="720"/>
    <w:uiPriority w:val="30"/>
    <w:rPr>
      <w:i/>
    </w:rPr>
  </w:style>
  <w:style w:type="paragraph" w:styleId="722">
    <w:name w:val="Header"/>
    <w:basedOn w:val="870"/>
    <w:link w:val="72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3">
    <w:name w:val="Header Char"/>
    <w:basedOn w:val="871"/>
    <w:link w:val="722"/>
    <w:uiPriority w:val="99"/>
  </w:style>
  <w:style w:type="character" w:styleId="724">
    <w:name w:val="Footer Char"/>
    <w:basedOn w:val="871"/>
    <w:link w:val="884"/>
    <w:uiPriority w:val="99"/>
  </w:style>
  <w:style w:type="character" w:styleId="725">
    <w:name w:val="Caption Char"/>
    <w:basedOn w:val="878"/>
    <w:link w:val="884"/>
    <w:uiPriority w:val="99"/>
  </w:style>
  <w:style w:type="table" w:styleId="726">
    <w:name w:val="Table Grid"/>
    <w:basedOn w:val="87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7">
    <w:name w:val="Table Grid Light"/>
    <w:basedOn w:val="87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8">
    <w:name w:val="Plain Table 1"/>
    <w:basedOn w:val="87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9">
    <w:name w:val="Plain Table 2"/>
    <w:basedOn w:val="87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0">
    <w:name w:val="Plain Table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1">
    <w:name w:val="Plain Table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Plain Table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3">
    <w:name w:val="Grid Table 1 Light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>
    <w:name w:val="Grid Table 1 Light 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Grid Table 1 Light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>
    <w:name w:val="Grid Table 1 Light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Grid Table 1 Light 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Grid Table 1 Light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Grid Table 1 Light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Grid Table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2 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2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2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2 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2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2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3 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3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3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3 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3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3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4"/>
    <w:basedOn w:val="8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5">
    <w:name w:val="Grid Table 4 - Accent 1"/>
    <w:basedOn w:val="8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56">
    <w:name w:val="Grid Table 4 - Accent 2"/>
    <w:basedOn w:val="8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57">
    <w:name w:val="Grid Table 4 - Accent 3"/>
    <w:basedOn w:val="8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8">
    <w:name w:val="Grid Table 4 - Accent 4"/>
    <w:basedOn w:val="8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9">
    <w:name w:val="Grid Table 4 - Accent 5"/>
    <w:basedOn w:val="8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60">
    <w:name w:val="Grid Table 4 - Accent 6"/>
    <w:basedOn w:val="87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61">
    <w:name w:val="Grid Table 5 Dark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2">
    <w:name w:val="Grid Table 5 Dark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63">
    <w:name w:val="Grid Table 5 Dark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64">
    <w:name w:val="Grid Table 5 Dark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65">
    <w:name w:val="Grid Table 5 Dark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66">
    <w:name w:val="Grid Table 5 Dark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67">
    <w:name w:val="Grid Table 5 Dark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68">
    <w:name w:val="Grid Table 6 Colorful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9">
    <w:name w:val="Grid Table 6 Colorful 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70">
    <w:name w:val="Grid Table 6 Colorful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71">
    <w:name w:val="Grid Table 6 Colorful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72">
    <w:name w:val="Grid Table 6 Colorful 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73">
    <w:name w:val="Grid Table 6 Colorful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4">
    <w:name w:val="Grid Table 6 Colorful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5">
    <w:name w:val="Grid Table 7 Colorful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7 Colorful 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7 Colorful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7 Colorful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7 Colorful 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7 Colorful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7 Colorful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1 Light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List Table 1 Light 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1 Light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List Table 1 Light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List Table 1 Light 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List Table 1 Light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List Table 1 Light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List Table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90">
    <w:name w:val="List Table 2 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91">
    <w:name w:val="List Table 2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92">
    <w:name w:val="List Table 2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93">
    <w:name w:val="List Table 2 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94">
    <w:name w:val="List Table 2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95">
    <w:name w:val="List Table 2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96">
    <w:name w:val="List Table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3 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3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3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3 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3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3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4 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4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4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4 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4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4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5 Dark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1">
    <w:name w:val="List Table 5 Dark 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2">
    <w:name w:val="List Table 5 Dark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3">
    <w:name w:val="List Table 5 Dark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4">
    <w:name w:val="List Table 5 Dark 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5">
    <w:name w:val="List Table 5 Dark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6">
    <w:name w:val="List Table 5 Dark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7">
    <w:name w:val="List Table 6 Colorful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8">
    <w:name w:val="List Table 6 Colorful 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9">
    <w:name w:val="List Table 6 Colorful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20">
    <w:name w:val="List Table 6 Colorful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21">
    <w:name w:val="List Table 6 Colorful 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22">
    <w:name w:val="List Table 6 Colorful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23">
    <w:name w:val="List Table 6 Colorful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24">
    <w:name w:val="List Table 7 Colorful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25">
    <w:name w:val="List Table 7 Colorful 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826">
    <w:name w:val="List Table 7 Colorful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827">
    <w:name w:val="List Table 7 Colorful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828">
    <w:name w:val="List Table 7 Colorful 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829">
    <w:name w:val="List Table 7 Colorful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830">
    <w:name w:val="List Table 7 Colorful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831">
    <w:name w:val="Lined - Accent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2">
    <w:name w:val="Lined - Accent 1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33">
    <w:name w:val="Lined - Accent 2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34">
    <w:name w:val="Lined - Accent 3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35">
    <w:name w:val="Lined - Accent 4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36">
    <w:name w:val="Lined - Accent 5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37">
    <w:name w:val="Lined - Accent 6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38">
    <w:name w:val="Bordered &amp; Lined - Accent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9">
    <w:name w:val="Bordered &amp; Lined - Accent 1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40">
    <w:name w:val="Bordered &amp; Lined - Accent 2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41">
    <w:name w:val="Bordered &amp; Lined - Accent 3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42">
    <w:name w:val="Bordered &amp; Lined - Accent 4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43">
    <w:name w:val="Bordered &amp; Lined - Accent 5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44">
    <w:name w:val="Bordered &amp; Lined - Accent 6"/>
    <w:basedOn w:val="87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45">
    <w:name w:val="Bordered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46">
    <w:name w:val="Bordered - Accent 1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47">
    <w:name w:val="Bordered - Accent 2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8">
    <w:name w:val="Bordered - Accent 3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9">
    <w:name w:val="Bordered - Accent 4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50">
    <w:name w:val="Bordered - Accent 5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51">
    <w:name w:val="Bordered - Accent 6"/>
    <w:basedOn w:val="87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52">
    <w:name w:val="Hyperlink"/>
    <w:uiPriority w:val="99"/>
    <w:unhideWhenUsed/>
    <w:rPr>
      <w:color w:val="0000ff" w:themeColor="hyperlink"/>
      <w:u w:val="single"/>
    </w:rPr>
  </w:style>
  <w:style w:type="paragraph" w:styleId="853">
    <w:name w:val="footnote text"/>
    <w:basedOn w:val="870"/>
    <w:link w:val="854"/>
    <w:uiPriority w:val="99"/>
    <w:semiHidden/>
    <w:unhideWhenUsed/>
    <w:pPr>
      <w:spacing w:after="40" w:line="240" w:lineRule="auto"/>
    </w:pPr>
    <w:rPr>
      <w:sz w:val="18"/>
    </w:rPr>
  </w:style>
  <w:style w:type="character" w:styleId="854">
    <w:name w:val="Footnote Text Char"/>
    <w:link w:val="853"/>
    <w:uiPriority w:val="99"/>
    <w:rPr>
      <w:sz w:val="18"/>
    </w:rPr>
  </w:style>
  <w:style w:type="character" w:styleId="855">
    <w:name w:val="footnote reference"/>
    <w:basedOn w:val="871"/>
    <w:uiPriority w:val="99"/>
    <w:unhideWhenUsed/>
    <w:rPr>
      <w:vertAlign w:val="superscript"/>
    </w:rPr>
  </w:style>
  <w:style w:type="paragraph" w:styleId="856">
    <w:name w:val="endnote text"/>
    <w:basedOn w:val="870"/>
    <w:link w:val="857"/>
    <w:uiPriority w:val="99"/>
    <w:semiHidden/>
    <w:unhideWhenUsed/>
    <w:pPr>
      <w:spacing w:after="0" w:line="240" w:lineRule="auto"/>
    </w:pPr>
    <w:rPr>
      <w:sz w:val="20"/>
    </w:rPr>
  </w:style>
  <w:style w:type="character" w:styleId="857">
    <w:name w:val="Endnote Text Char"/>
    <w:link w:val="856"/>
    <w:uiPriority w:val="99"/>
    <w:rPr>
      <w:sz w:val="20"/>
    </w:rPr>
  </w:style>
  <w:style w:type="character" w:styleId="858">
    <w:name w:val="endnote reference"/>
    <w:basedOn w:val="871"/>
    <w:uiPriority w:val="99"/>
    <w:semiHidden/>
    <w:unhideWhenUsed/>
    <w:rPr>
      <w:vertAlign w:val="superscript"/>
    </w:rPr>
  </w:style>
  <w:style w:type="paragraph" w:styleId="859">
    <w:name w:val="toc 1"/>
    <w:basedOn w:val="870"/>
    <w:next w:val="870"/>
    <w:uiPriority w:val="39"/>
    <w:unhideWhenUsed/>
    <w:pPr>
      <w:ind w:left="0" w:right="0" w:firstLine="0"/>
      <w:spacing w:after="57"/>
    </w:pPr>
  </w:style>
  <w:style w:type="paragraph" w:styleId="860">
    <w:name w:val="toc 2"/>
    <w:basedOn w:val="870"/>
    <w:next w:val="870"/>
    <w:uiPriority w:val="39"/>
    <w:unhideWhenUsed/>
    <w:pPr>
      <w:ind w:left="283" w:right="0" w:firstLine="0"/>
      <w:spacing w:after="57"/>
    </w:pPr>
  </w:style>
  <w:style w:type="paragraph" w:styleId="861">
    <w:name w:val="toc 3"/>
    <w:basedOn w:val="870"/>
    <w:next w:val="870"/>
    <w:uiPriority w:val="39"/>
    <w:unhideWhenUsed/>
    <w:pPr>
      <w:ind w:left="567" w:right="0" w:firstLine="0"/>
      <w:spacing w:after="57"/>
    </w:pPr>
  </w:style>
  <w:style w:type="paragraph" w:styleId="862">
    <w:name w:val="toc 4"/>
    <w:basedOn w:val="870"/>
    <w:next w:val="870"/>
    <w:uiPriority w:val="39"/>
    <w:unhideWhenUsed/>
    <w:pPr>
      <w:ind w:left="850" w:right="0" w:firstLine="0"/>
      <w:spacing w:after="57"/>
    </w:pPr>
  </w:style>
  <w:style w:type="paragraph" w:styleId="863">
    <w:name w:val="toc 5"/>
    <w:basedOn w:val="870"/>
    <w:next w:val="870"/>
    <w:uiPriority w:val="39"/>
    <w:unhideWhenUsed/>
    <w:pPr>
      <w:ind w:left="1134" w:right="0" w:firstLine="0"/>
      <w:spacing w:after="57"/>
    </w:pPr>
  </w:style>
  <w:style w:type="paragraph" w:styleId="864">
    <w:name w:val="toc 6"/>
    <w:basedOn w:val="870"/>
    <w:next w:val="870"/>
    <w:uiPriority w:val="39"/>
    <w:unhideWhenUsed/>
    <w:pPr>
      <w:ind w:left="1417" w:right="0" w:firstLine="0"/>
      <w:spacing w:after="57"/>
    </w:pPr>
  </w:style>
  <w:style w:type="paragraph" w:styleId="865">
    <w:name w:val="toc 7"/>
    <w:basedOn w:val="870"/>
    <w:next w:val="870"/>
    <w:uiPriority w:val="39"/>
    <w:unhideWhenUsed/>
    <w:pPr>
      <w:ind w:left="1701" w:right="0" w:firstLine="0"/>
      <w:spacing w:after="57"/>
    </w:pPr>
  </w:style>
  <w:style w:type="paragraph" w:styleId="866">
    <w:name w:val="toc 8"/>
    <w:basedOn w:val="870"/>
    <w:next w:val="870"/>
    <w:uiPriority w:val="39"/>
    <w:unhideWhenUsed/>
    <w:pPr>
      <w:ind w:left="1984" w:right="0" w:firstLine="0"/>
      <w:spacing w:after="57"/>
    </w:pPr>
  </w:style>
  <w:style w:type="paragraph" w:styleId="867">
    <w:name w:val="toc 9"/>
    <w:basedOn w:val="870"/>
    <w:next w:val="870"/>
    <w:uiPriority w:val="39"/>
    <w:unhideWhenUsed/>
    <w:pPr>
      <w:ind w:left="2268" w:right="0" w:firstLine="0"/>
      <w:spacing w:after="57"/>
    </w:pPr>
  </w:style>
  <w:style w:type="paragraph" w:styleId="868">
    <w:name w:val="TOC Heading"/>
    <w:uiPriority w:val="39"/>
    <w:unhideWhenUsed/>
  </w:style>
  <w:style w:type="paragraph" w:styleId="869">
    <w:name w:val="table of figures"/>
    <w:basedOn w:val="870"/>
    <w:next w:val="870"/>
    <w:uiPriority w:val="99"/>
    <w:unhideWhenUsed/>
    <w:pPr>
      <w:spacing w:after="0" w:afterAutospacing="0"/>
    </w:pPr>
  </w:style>
  <w:style w:type="paragraph" w:styleId="870" w:default="1">
    <w:name w:val="Normal"/>
    <w:qFormat/>
    <w:pPr>
      <w:spacing w:after="200" w:line="276" w:lineRule="auto"/>
    </w:pPr>
    <w:rPr>
      <w:rFonts w:ascii="Calibri" w:hAnsi="Calibri" w:eastAsia="Calibri" w:cs="Calibri"/>
      <w:sz w:val="22"/>
      <w:szCs w:val="22"/>
      <w:lang w:eastAsia="zh-CN"/>
    </w:rPr>
  </w:style>
  <w:style w:type="character" w:styleId="871" w:default="1">
    <w:name w:val="Default Paragraph Font"/>
    <w:uiPriority w:val="1"/>
    <w:semiHidden/>
    <w:unhideWhenUsed/>
  </w:style>
  <w:style w:type="table" w:styleId="87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73" w:default="1">
    <w:name w:val="No List"/>
    <w:uiPriority w:val="99"/>
    <w:semiHidden/>
    <w:unhideWhenUsed/>
  </w:style>
  <w:style w:type="character" w:styleId="874" w:customStyle="1">
    <w:name w:val="Основной шрифт абзаца1"/>
  </w:style>
  <w:style w:type="paragraph" w:styleId="875" w:customStyle="1">
    <w:name w:val="Заголовок1"/>
    <w:basedOn w:val="870"/>
    <w:next w:val="876"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876">
    <w:name w:val="Body Text"/>
    <w:basedOn w:val="870"/>
    <w:pPr>
      <w:spacing w:after="140" w:line="288" w:lineRule="auto"/>
    </w:pPr>
  </w:style>
  <w:style w:type="paragraph" w:styleId="877">
    <w:name w:val="List"/>
    <w:basedOn w:val="876"/>
    <w:rPr>
      <w:rFonts w:cs="Arial"/>
    </w:rPr>
  </w:style>
  <w:style w:type="paragraph" w:styleId="878">
    <w:name w:val="Caption"/>
    <w:basedOn w:val="870"/>
    <w:link w:val="725"/>
    <w:qFormat/>
    <w:pPr>
      <w:spacing w:before="120" w:after="120"/>
      <w:suppressLineNumbers/>
    </w:pPr>
    <w:rPr>
      <w:rFonts w:cs="Arial"/>
      <w:i/>
      <w:iCs/>
      <w:sz w:val="24"/>
      <w:szCs w:val="24"/>
    </w:rPr>
  </w:style>
  <w:style w:type="paragraph" w:styleId="879" w:customStyle="1">
    <w:name w:val="Указатель1"/>
    <w:basedOn w:val="870"/>
    <w:pPr>
      <w:suppressLineNumbers/>
    </w:pPr>
    <w:rPr>
      <w:rFonts w:cs="Arial"/>
    </w:rPr>
  </w:style>
  <w:style w:type="paragraph" w:styleId="880" w:customStyle="1">
    <w:name w:val="Абзац списка1"/>
    <w:basedOn w:val="870"/>
    <w:pPr>
      <w:ind w:left="720"/>
    </w:pPr>
    <w:rPr>
      <w:rFonts w:eastAsia="Times New Roman"/>
    </w:rPr>
  </w:style>
  <w:style w:type="paragraph" w:styleId="881" w:customStyle="1">
    <w:name w:val="Текст1"/>
    <w:basedOn w:val="870"/>
    <w:rPr>
      <w:rFonts w:ascii="Courier New" w:hAnsi="Courier New" w:cs="Courier New"/>
      <w:sz w:val="20"/>
      <w:szCs w:val="20"/>
    </w:rPr>
  </w:style>
  <w:style w:type="paragraph" w:styleId="882" w:customStyle="1">
    <w:name w:val="Содержимое таблицы"/>
    <w:basedOn w:val="870"/>
    <w:pPr>
      <w:suppressLineNumbers/>
    </w:pPr>
  </w:style>
  <w:style w:type="paragraph" w:styleId="883" w:customStyle="1">
    <w:name w:val="Заголовок таблицы"/>
    <w:basedOn w:val="882"/>
    <w:pPr>
      <w:jc w:val="center"/>
    </w:pPr>
    <w:rPr>
      <w:b/>
      <w:bCs/>
    </w:rPr>
  </w:style>
  <w:style w:type="paragraph" w:styleId="884">
    <w:name w:val="Footer"/>
    <w:basedOn w:val="870"/>
    <w:pPr>
      <w:tabs>
        <w:tab w:val="center" w:pos="4898" w:leader="none"/>
        <w:tab w:val="right" w:pos="9796" w:leader="none"/>
      </w:tabs>
      <w:suppressLineNumbers/>
    </w:pPr>
  </w:style>
  <w:style w:type="paragraph" w:styleId="885">
    <w:name w:val="Balloon Text"/>
    <w:basedOn w:val="870"/>
    <w:semiHidden/>
    <w:rPr>
      <w:rFonts w:ascii="Tahoma" w:hAnsi="Tahoma" w:cs="Tahoma"/>
      <w:sz w:val="16"/>
      <w:szCs w:val="16"/>
    </w:rPr>
  </w:style>
  <w:style w:type="paragraph" w:styleId="886" w:customStyle="1">
    <w:name w:val="ConsPlusTitle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Arial" w:hAnsi="Arial" w:eastAsia="Times New Roman" w:cs="Arial"/>
      <w:b/>
      <w:bCs/>
      <w:i w:val="0"/>
      <w:iCs w:val="0"/>
      <w:caps w:val="0"/>
      <w:smallCaps w:val="0"/>
      <w:strike w:val="0"/>
      <w:vanish w:val="0"/>
      <w:color w:val="auto"/>
      <w:spacing w:val="0"/>
      <w:position w:val="0"/>
      <w:sz w:val="20"/>
      <w:szCs w:val="20"/>
      <w:highlight w:val="none"/>
      <w:u w:val="none"/>
      <w:vertAlign w:val="baseline"/>
      <w:rtl w:val="0"/>
      <w:cs w:val="0"/>
      <w:lang w:val="ru-RU" w:eastAsia="ru-RU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Р7-Офис/2025.2.2.831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№1 к документации</dc:title>
  <dc:subject/>
  <dc:creator>Татьяна Капаева</dc:creator>
  <cp:keywords/>
  <cp:lastModifiedBy>User</cp:lastModifiedBy>
  <cp:revision>82</cp:revision>
  <dcterms:created xsi:type="dcterms:W3CDTF">2019-01-10T02:54:00Z</dcterms:created>
  <dcterms:modified xsi:type="dcterms:W3CDTF">2025-10-08T09:36:09Z</dcterms:modified>
</cp:coreProperties>
</file>