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Приложение 1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к договору № </w:t>
      </w:r>
      <w:r>
        <w:rPr>
          <w:sz w:val="22"/>
          <w:szCs w:val="22"/>
        </w:rPr>
        <w:t xml:space="preserve">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от «___» __________ 20__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284"/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284"/>
        <w:jc w:val="center"/>
        <w:widowControl w:val="off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</w:t>
      </w:r>
      <w:r>
        <w:rPr>
          <w:b/>
          <w:sz w:val="22"/>
          <w:szCs w:val="22"/>
        </w:rPr>
        <w:t xml:space="preserve">ехническое задание на услуги по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информационному обслуживанию с использованием системы нормативно-технической информации "Техэксперт"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firstLine="42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0"/>
          <w:numId w:val="6"/>
        </w:numPr>
        <w:jc w:val="both"/>
        <w:widowControl w:val="off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Спецификация услуг по</w:t>
      </w:r>
      <w:r>
        <w:rPr>
          <w:b/>
          <w:sz w:val="22"/>
          <w:szCs w:val="22"/>
        </w:rPr>
        <w:t xml:space="preserve"> сопровождению ИСС: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left="786"/>
        <w:jc w:val="both"/>
        <w:widowControl w:val="off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Вариант лицензирования – офисный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114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Сопровождение</w:t>
      </w:r>
      <w:r>
        <w:rPr>
          <w:sz w:val="22"/>
          <w:szCs w:val="22"/>
        </w:rPr>
        <w:t xml:space="preserve"> ИСС производится на серверах (компьютерах) компьютерной сети, расположенной на территории: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3379"/>
        <w:gridCol w:w="3380"/>
        <w:gridCol w:w="3380"/>
      </w:tblGrid>
      <w:tr>
        <w:tblPrEx/>
        <w:trPr/>
        <w:tc>
          <w:tcPr>
            <w:tcW w:w="1666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юридического лица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фактического местонахождения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1666" w:type="pct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ГАУ РК «Центр информационных технологий»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1101460616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167000, Республика Коми, г. Сыктывкар, ул. Интернациональная д. 108а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114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Доступ к ИСС разрешен для пользовательских рабочих мест, расположенных на территории: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3379"/>
        <w:gridCol w:w="3380"/>
        <w:gridCol w:w="3380"/>
      </w:tblGrid>
      <w:tr>
        <w:tblPrEx/>
        <w:trPr/>
        <w:tc>
          <w:tcPr>
            <w:tcW w:w="1666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юридического лица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фактического местонахождения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1666" w:type="pct"/>
            <w:textDirection w:val="lrTb"/>
            <w:noWrap w:val="false"/>
          </w:tcPr>
          <w:p>
            <w:pPr>
              <w:pStyle w:val="976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Государственное казенное учреждение «Служба единого </w:t>
            </w:r>
            <w:r>
              <w:rPr>
                <w:sz w:val="22"/>
                <w:szCs w:val="22"/>
              </w:rPr>
              <w:t xml:space="preserve">заказчика</w:t>
            </w:r>
            <w:r>
              <w:rPr>
                <w:sz w:val="22"/>
                <w:szCs w:val="22"/>
              </w:rPr>
              <w:t xml:space="preserve"> Республики Коми»     </w:t>
            </w:r>
            <w:r>
              <w:rPr>
                <w:sz w:val="22"/>
                <w:szCs w:val="22"/>
                <w:shd w:val="clear" w:color="auto" w:fill="ffffff"/>
              </w:rPr>
            </w:r>
            <w:r>
              <w:rPr>
                <w:sz w:val="22"/>
                <w:szCs w:val="22"/>
                <w:shd w:val="clear" w:color="auto" w:fill="ffffff"/>
              </w:rPr>
            </w:r>
          </w:p>
        </w:tc>
        <w:tc>
          <w:tcPr>
            <w:shd w:val="clear" w:color="auto" w:fill="ffffff"/>
            <w:tcW w:w="1667" w:type="pct"/>
            <w:textDirection w:val="lrTb"/>
            <w:noWrap w:val="false"/>
          </w:tcPr>
          <w:p>
            <w:pPr>
              <w:pStyle w:val="9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1101461000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167982,  Респуб</w:t>
            </w:r>
            <w:r>
              <w:rPr>
                <w:sz w:val="22"/>
                <w:szCs w:val="22"/>
              </w:rPr>
              <w:t xml:space="preserve">лика Коми, ул. Первомайская, д.</w:t>
            </w:r>
            <w:r>
              <w:rPr>
                <w:sz w:val="22"/>
                <w:szCs w:val="22"/>
              </w:rPr>
              <w:t xml:space="preserve">78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114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Основные сведения об ИСС: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13"/>
        <w:gridCol w:w="2554"/>
        <w:gridCol w:w="1418"/>
        <w:gridCol w:w="1841"/>
        <w:gridCol w:w="1560"/>
        <w:gridCol w:w="2217"/>
      </w:tblGrid>
      <w:tr>
        <w:tblPrEx/>
        <w:trPr>
          <w:cantSplit/>
          <w:trHeight w:val="589"/>
        </w:trPr>
        <w:tc>
          <w:tcPr>
            <w:tcW w:w="254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64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702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серверов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11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пользовательских рабочих мест*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772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 сопровождения ИСС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09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эксплуатации (период)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254" w:type="pct"/>
            <w:textDirection w:val="lrTb"/>
            <w:noWrap w:val="false"/>
          </w:tcPr>
          <w:p>
            <w:pPr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64" w:type="pct"/>
            <w:textDirection w:val="lrTb"/>
            <w:noWrap w:val="false"/>
          </w:tcPr>
          <w:p>
            <w:pPr>
              <w:widowControl w:val="off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Стройэксперт. Профессиональный вариант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70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9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10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7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ежемесячно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0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Январь-июнь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W w:w="254" w:type="pct"/>
            <w:textDirection w:val="lrTb"/>
            <w:noWrap w:val="false"/>
          </w:tcPr>
          <w:p>
            <w:pPr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64" w:type="pct"/>
            <w:textDirection w:val="lrTb"/>
            <w:noWrap w:val="false"/>
          </w:tcPr>
          <w:p>
            <w:pPr>
              <w:widowControl w:val="off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Техэксперт. Помощник проектировщика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70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9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5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77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09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</w:tbl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* - за пользовательским рабочим местом технически в ИСС закрепляется лицензия на 24 часа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Калькуляция стоимости и сроки оказания услуг: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91"/>
        <w:gridCol w:w="4530"/>
        <w:gridCol w:w="2460"/>
        <w:gridCol w:w="2458"/>
      </w:tblGrid>
      <w:tr>
        <w:tblPrEx/>
        <w:trPr/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Название услуг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Сроки оказания услуг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Сумма, в руб.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Сопровождение ИСС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Январь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  <w:t xml:space="preserve"> – Март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Апрель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  <w:t xml:space="preserve"> – Июнь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за сопровождение ИСС: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Январь</w:t>
            </w:r>
            <w:r>
              <w:rPr>
                <w:i/>
                <w:sz w:val="22"/>
                <w:szCs w:val="22"/>
              </w:rPr>
              <w:t xml:space="preserve">-</w:t>
            </w:r>
            <w:r>
              <w:rPr>
                <w:i/>
                <w:sz w:val="22"/>
                <w:szCs w:val="22"/>
              </w:rPr>
              <w:t xml:space="preserve">июнь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r/>
            <w:r/>
          </w:p>
        </w:tc>
      </w:tr>
    </w:tbl>
    <w:p>
      <w:pPr>
        <w:ind w:right="-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80"/>
        <w:gridCol w:w="4725"/>
      </w:tblGrid>
      <w:tr>
        <w:tblPrEx/>
        <w:trPr>
          <w:jc w:val="center"/>
        </w:trPr>
        <w:tc>
          <w:tcPr>
            <w:shd w:val="clear" w:color="auto" w:fill="ffffff" w:themeFill="background1"/>
            <w:tcW w:w="4680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Заказчика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__________________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472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Исполнителя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____________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right"/>
        <w:widowControl w:val="off"/>
        <w:rPr>
          <w:sz w:val="22"/>
          <w:szCs w:val="22"/>
          <w:highlight w:val="none"/>
        </w:rPr>
      </w:pPr>
      <w:r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 xml:space="preserve">2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к договору № </w:t>
      </w:r>
      <w:r>
        <w:rPr>
          <w:sz w:val="22"/>
          <w:szCs w:val="22"/>
        </w:rPr>
        <w:t xml:space="preserve">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___</w:t>
      </w:r>
      <w:r>
        <w:rPr>
          <w:sz w:val="22"/>
          <w:szCs w:val="22"/>
        </w:rPr>
        <w:t xml:space="preserve">»</w:t>
      </w:r>
      <w:r>
        <w:rPr>
          <w:sz w:val="22"/>
          <w:szCs w:val="22"/>
        </w:rPr>
        <w:t xml:space="preserve"> __________ 20__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284"/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284"/>
        <w:jc w:val="center"/>
        <w:widowControl w:val="off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Техническое задание на услуги по </w:t>
      </w:r>
      <w:r>
        <w:rPr>
          <w:b/>
          <w:sz w:val="22"/>
          <w:szCs w:val="22"/>
        </w:rPr>
        <w:t xml:space="preserve">информационному обслуживанию с использованием системы нормативно-технической информации "Техэксперт"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firstLine="42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0"/>
          <w:numId w:val="6"/>
        </w:numPr>
        <w:jc w:val="both"/>
        <w:widowControl w:val="off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Спецификация услуг по</w:t>
      </w:r>
      <w:r>
        <w:rPr>
          <w:b/>
          <w:sz w:val="22"/>
          <w:szCs w:val="22"/>
        </w:rPr>
        <w:t xml:space="preserve"> сопровождению ИСС: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left="786"/>
        <w:jc w:val="both"/>
        <w:widowControl w:val="off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Вариант лицензирования –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офисный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114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Сопровождение</w:t>
      </w:r>
      <w:r>
        <w:rPr>
          <w:sz w:val="22"/>
          <w:szCs w:val="22"/>
        </w:rPr>
        <w:t xml:space="preserve"> ИСС </w:t>
      </w:r>
      <w:r>
        <w:rPr>
          <w:sz w:val="22"/>
          <w:szCs w:val="22"/>
        </w:rPr>
        <w:t xml:space="preserve">производится</w:t>
      </w:r>
      <w:r>
        <w:rPr>
          <w:sz w:val="22"/>
          <w:szCs w:val="22"/>
        </w:rPr>
        <w:t xml:space="preserve"> на серверах (компьютерах) компьютерной сети, расположенной на территории</w:t>
      </w:r>
      <w:r>
        <w:rPr>
          <w:sz w:val="22"/>
          <w:szCs w:val="22"/>
        </w:rPr>
        <w:t xml:space="preserve">: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3379"/>
        <w:gridCol w:w="3380"/>
        <w:gridCol w:w="3380"/>
      </w:tblGrid>
      <w:tr>
        <w:tblPrEx/>
        <w:trPr/>
        <w:tc>
          <w:tcPr>
            <w:tcW w:w="1666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юридического лица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фактического местонахождения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1666" w:type="pct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ГАУ РК «Центр информационных технологий»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1101460616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6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167000, Республика Коми, г. Сыктывкар, ул. Интернациональная д. 108а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114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114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Доступ к ИСС разрешен для пользовательских рабочих мест, расположенных на территории: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335"/>
        <w:gridCol w:w="3338"/>
        <w:gridCol w:w="346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5" w:type="pct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юридического лица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pct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9" w:type="pct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фактического местонахождения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5" w:type="pct"/>
            <w:textDirection w:val="lrTb"/>
            <w:noWrap w:val="false"/>
          </w:tcPr>
          <w:p>
            <w:pPr>
              <w:spacing w:line="254" w:lineRule="auto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Министерство строительства и жилищно-коммунального хозяйства Республики Коми</w:t>
            </w:r>
            <w:r>
              <w:rPr>
                <w:sz w:val="22"/>
                <w:szCs w:val="22"/>
                <w:shd w:val="clear" w:color="auto" w:fill="ffffff"/>
              </w:rPr>
            </w:r>
            <w:r>
              <w:rPr>
                <w:sz w:val="22"/>
                <w:szCs w:val="22"/>
                <w:shd w:val="clear" w:color="auto" w:fill="fffff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pct"/>
            <w:textDirection w:val="lrTb"/>
            <w:noWrap w:val="false"/>
          </w:tcPr>
          <w:p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1101160228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9" w:type="pct"/>
            <w:textDirection w:val="lrTb"/>
            <w:noWrap w:val="false"/>
          </w:tcPr>
          <w:p>
            <w:pPr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167000, Республика Коми, город Сыктывкар, Коммунистическая улица, дом 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5" w:type="pct"/>
            <w:textDirection w:val="lrTb"/>
            <w:noWrap w:val="false"/>
          </w:tcPr>
          <w:p>
            <w:pPr>
              <w:spacing w:line="254" w:lineRule="auto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ГКУ РК «ЦОД Минстроя РК»</w:t>
            </w:r>
            <w:r>
              <w:rPr>
                <w:sz w:val="22"/>
                <w:szCs w:val="22"/>
                <w:shd w:val="clear" w:color="auto" w:fill="ffffff"/>
              </w:rPr>
            </w:r>
            <w:r>
              <w:rPr>
                <w:sz w:val="22"/>
                <w:szCs w:val="22"/>
                <w:shd w:val="clear" w:color="auto" w:fill="fffff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pct"/>
            <w:textDirection w:val="lrTb"/>
            <w:noWrap w:val="false"/>
          </w:tcPr>
          <w:p>
            <w:pPr>
              <w:spacing w:line="254" w:lineRule="auto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1101486759</w:t>
            </w:r>
            <w:r>
              <w:rPr>
                <w:sz w:val="22"/>
                <w:szCs w:val="22"/>
                <w:shd w:val="clear" w:color="auto" w:fill="ffffff"/>
              </w:rPr>
            </w:r>
            <w:r>
              <w:rPr>
                <w:sz w:val="22"/>
                <w:szCs w:val="22"/>
                <w:shd w:val="clear" w:color="auto" w:fill="fffff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9" w:type="pct"/>
            <w:textDirection w:val="lrTb"/>
            <w:noWrap w:val="false"/>
          </w:tcPr>
          <w:p>
            <w:pPr>
              <w:spacing w:line="254" w:lineRule="auto"/>
              <w:widowControl w:val="o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167000, Республика Коми, г. Сыктывкар, ул. Интернациональная, д. 108</w:t>
            </w:r>
            <w:r>
              <w:rPr>
                <w:sz w:val="22"/>
                <w:szCs w:val="22"/>
                <w:shd w:val="clear" w:color="auto" w:fill="ffffff"/>
              </w:rPr>
            </w:r>
            <w:r>
              <w:rPr>
                <w:sz w:val="22"/>
                <w:szCs w:val="22"/>
                <w:shd w:val="clear" w:color="auto" w:fill="ffffff"/>
              </w:rPr>
            </w:r>
          </w:p>
        </w:tc>
      </w:tr>
    </w:tbl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114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1146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Основные сведения об ИСС: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97"/>
        <w:gridCol w:w="1596"/>
        <w:gridCol w:w="1967"/>
        <w:gridCol w:w="1257"/>
        <w:gridCol w:w="1798"/>
        <w:gridCol w:w="1595"/>
        <w:gridCol w:w="1429"/>
      </w:tblGrid>
      <w:tr>
        <w:tblPrEx/>
        <w:trPr>
          <w:trHeight w:val="58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0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Доступ к ИСС на территории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серверов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8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пользовательских рабочих мест*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 сопровождения ИСС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1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эксплуатации (период)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Министерство строительства и жилищно-коммунального хозяйства Республики Коми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Стройэксперт. Профессиональный вариант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14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ежемесячно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5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Январь-июнь</w:t>
            </w:r>
            <w:r>
              <w:rPr>
                <w:i/>
                <w:sz w:val="22"/>
                <w:szCs w:val="22"/>
              </w:rPr>
              <w:t xml:space="preserve"> 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Техэксперт. Помощник проектировщика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3.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Техэксперт. Дорожное строительство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4.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Техэксперт. Типовая проектная документация по дорожному строительству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5.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 Электроэнергетика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6.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Техэксперт. Теплоэнергетика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ГКУ РК «ЦОД Минстроя РК»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Стройэксперт. Профессиональный вариант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Техэксперт. Помощник проектировщика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3.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Техэксперт. Дорожное строительство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4.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Техэксперт. Типовая проектная документация по дорожному строительству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5.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 Электроэнергетика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6.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jc w:val="center"/>
              <w:spacing w:line="254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Техэксперт. Теплоэнергетика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</w:tr>
    </w:tbl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* - за пользовательским рабочим местом технически </w:t>
      </w:r>
      <w:r>
        <w:rPr>
          <w:sz w:val="22"/>
          <w:szCs w:val="22"/>
        </w:rPr>
        <w:t xml:space="preserve">в ИСС </w:t>
      </w:r>
      <w:r>
        <w:rPr>
          <w:sz w:val="22"/>
          <w:szCs w:val="22"/>
        </w:rPr>
        <w:t xml:space="preserve">закрепляется лицензия на 24 часа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1"/>
          <w:numId w:val="6"/>
        </w:num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Калькуляция стоимости </w:t>
      </w:r>
      <w:r>
        <w:rPr>
          <w:sz w:val="22"/>
          <w:szCs w:val="22"/>
        </w:rPr>
        <w:t xml:space="preserve">и сроки </w:t>
      </w:r>
      <w:r>
        <w:rPr>
          <w:sz w:val="22"/>
          <w:szCs w:val="22"/>
        </w:rPr>
        <w:t xml:space="preserve">оказания услуг: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91"/>
        <w:gridCol w:w="4530"/>
        <w:gridCol w:w="2460"/>
        <w:gridCol w:w="2458"/>
      </w:tblGrid>
      <w:tr>
        <w:tblPrEx/>
        <w:trPr/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Название услуг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Сроки оказания услуг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Сумма, в руб.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6"/>
        </w:trPr>
        <w:tc>
          <w:tcPr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Сопровождение ИСС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Январь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  <w:t xml:space="preserve"> – Март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Апрель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  <w:t xml:space="preserve"> – Июнь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3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за сопровождение ИСС: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13" w:type="pct"/>
            <w:textDirection w:val="lrTb"/>
            <w:noWrap w:val="false"/>
          </w:tcPr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Январь</w:t>
            </w:r>
            <w:r>
              <w:rPr>
                <w:i/>
                <w:sz w:val="22"/>
                <w:szCs w:val="22"/>
              </w:rPr>
              <w:t xml:space="preserve">-</w:t>
            </w:r>
            <w:r>
              <w:rPr>
                <w:i/>
                <w:sz w:val="22"/>
                <w:szCs w:val="22"/>
              </w:rPr>
              <w:t xml:space="preserve">июнь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202</w:t>
            </w:r>
            <w:r>
              <w:rPr>
                <w:i/>
                <w:sz w:val="22"/>
                <w:szCs w:val="22"/>
              </w:rPr>
              <w:t xml:space="preserve">6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1212" w:type="pct"/>
            <w:textDirection w:val="lrTb"/>
            <w:noWrap w:val="false"/>
          </w:tcPr>
          <w:p>
            <w:r/>
            <w:r/>
          </w:p>
        </w:tc>
      </w:tr>
    </w:tbl>
    <w:p>
      <w:pPr>
        <w:ind w:right="-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80"/>
        <w:gridCol w:w="4725"/>
      </w:tblGrid>
      <w:tr>
        <w:tblPrEx/>
        <w:trPr>
          <w:jc w:val="center"/>
        </w:trPr>
        <w:tc>
          <w:tcPr>
            <w:shd w:val="clear" w:color="auto" w:fill="ffffff" w:themeFill="background1"/>
            <w:tcW w:w="4680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Заказчика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__________________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472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Исполнителя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___________________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 xml:space="preserve">3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к договору № </w:t>
      </w:r>
      <w:r>
        <w:rPr>
          <w:sz w:val="22"/>
          <w:szCs w:val="22"/>
        </w:rPr>
        <w:t xml:space="preserve">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от «___» __________ 20__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425"/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464"/>
        <w:jc w:val="center"/>
        <w:widowControl w:val="off"/>
        <w:rPr>
          <w:sz w:val="22"/>
          <w:szCs w:val="22"/>
        </w:rPr>
      </w:pPr>
      <w:r>
        <w:rPr>
          <w:b/>
          <w:sz w:val="22"/>
          <w:szCs w:val="22"/>
        </w:rPr>
        <w:t xml:space="preserve">Правила пользования ИСС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463"/>
        <w:jc w:val="center"/>
        <w:widowControl w:val="off"/>
        <w:rPr>
          <w:sz w:val="22"/>
          <w:szCs w:val="22"/>
        </w:rPr>
      </w:pPr>
      <w:r>
        <w:rPr>
          <w:b/>
          <w:sz w:val="22"/>
          <w:szCs w:val="22"/>
        </w:rPr>
        <w:t xml:space="preserve">(для </w:t>
      </w:r>
      <w:r>
        <w:rPr>
          <w:b/>
          <w:sz w:val="22"/>
          <w:szCs w:val="22"/>
          <w:u w:val="single"/>
        </w:rPr>
        <w:t xml:space="preserve">офисного</w:t>
      </w:r>
      <w:r>
        <w:rPr>
          <w:b/>
          <w:sz w:val="22"/>
          <w:szCs w:val="22"/>
        </w:rPr>
        <w:t xml:space="preserve"> варианта лицензирования ИСС)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834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Настоящие Правила пользования являются неотъемлемой частью настоящего Договора. Ничто в Договоре и нас</w:t>
      </w:r>
      <w:r>
        <w:rPr>
          <w:sz w:val="22"/>
          <w:szCs w:val="22"/>
        </w:rPr>
        <w:t xml:space="preserve">тоящих Правилах не должно толковаться как предоставление Пользователю каких-либо иных имущественных прав на ИСС и содержащиеся в них материалы (информационные ресурсы), кроме тех, которые прямо указаны в тексте договора, Правил или иного письменного соглаш</w:t>
      </w:r>
      <w:r>
        <w:rPr>
          <w:sz w:val="22"/>
          <w:szCs w:val="22"/>
        </w:rPr>
        <w:t xml:space="preserve">ения Пользователя и Исполнителя. Пользователь обязуется соблюдать авторские, смежные и иные права на ИСС, а также на входящие в их состав материалы, в соответствии с законодательством Российской Федерации, а также не нарушать настоящие Правила пользования.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851"/>
        <w:jc w:val="both"/>
        <w:widowControl w:val="o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соответствии с Гражданским кодексом Российской Федерации и Федеральным законом «Об информации, информационных технологиях и о защите информации» установлены нижеследующие правила пользования ИСС: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ind w:firstLine="834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1. Пользование перечисленными в Техническом задании (Приложение 1 к настоящему Договору) ИСС осуществляется только согласно их назначению и варианту лицензирования.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834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2. Не допускаются без письменного разрешения Исполнителя: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8"/>
        <w:jc w:val="both"/>
        <w:widowControl w:val="o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перепечатка (публикация) или распространение в бумажной форме отдельно и в соста</w:t>
      </w:r>
      <w:r>
        <w:rPr>
          <w:color w:val="000000"/>
          <w:sz w:val="22"/>
          <w:szCs w:val="22"/>
        </w:rPr>
        <w:t xml:space="preserve">ве сборников, а также включение в базы данных, распространение в электронной форме отдельно или в составе баз данных, доведение до всеобщего сведения не охраняемых авторским правом материалов и документов (документированной информации), содержащихся в ИСС;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ind w:firstLine="708"/>
        <w:jc w:val="both"/>
        <w:widowControl w:val="o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перепечатка (публикация), распространение в любой форме и любым способом или доведение до всеобщего сведения отдельно и в составе сборников или баз данных авторских произведений, содержащихся в ИСС.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ind w:firstLine="8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Пользователь обязан соблюдать указанные в Техническом задании (Приложение 1 к настоящему Договору) условия по количеству локальны</w:t>
      </w:r>
      <w:r>
        <w:rPr>
          <w:sz w:val="22"/>
          <w:szCs w:val="22"/>
        </w:rPr>
        <w:t xml:space="preserve">х компьютеров и/или количеству серверов (компьютеров) локальной компьютерной сети, на которые устанавливаются ИСС, и адресам фактических мест установки, а также условия по количеству пользовательских рабочих мест и адресам фактических мест пользования ИСС.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8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При условии однопользовательского </w:t>
      </w:r>
      <w:r>
        <w:rPr>
          <w:b/>
          <w:i/>
          <w:sz w:val="22"/>
          <w:szCs w:val="22"/>
        </w:rPr>
        <w:t xml:space="preserve">офисного варианта лицензирования ИСС </w:t>
      </w:r>
      <w:r>
        <w:rPr>
          <w:sz w:val="22"/>
          <w:szCs w:val="22"/>
        </w:rPr>
        <w:t xml:space="preserve">хранение и пользование ИСС допускается только на одном компьютере. Не является нарушением данных Правил пользования пользование законно приобретенным однопользовательским </w:t>
      </w:r>
      <w:r>
        <w:rPr>
          <w:b/>
          <w:i/>
          <w:sz w:val="22"/>
          <w:szCs w:val="22"/>
        </w:rPr>
        <w:t xml:space="preserve">офисным вариантом ИСС </w:t>
      </w:r>
      <w:r>
        <w:rPr>
          <w:sz w:val="22"/>
          <w:szCs w:val="22"/>
        </w:rPr>
        <w:t xml:space="preserve">на аппаратных средствах Пользователя вне пределов его офиса в случае установки ИСС на ноутбуке или флеш-карте.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условии многопользовательского </w:t>
      </w:r>
      <w:r>
        <w:rPr>
          <w:b/>
          <w:i/>
          <w:sz w:val="22"/>
          <w:szCs w:val="22"/>
        </w:rPr>
        <w:t xml:space="preserve">офисного варианта лицензирования ИСС</w:t>
      </w:r>
      <w:r>
        <w:rPr>
          <w:sz w:val="22"/>
          <w:szCs w:val="22"/>
        </w:rPr>
        <w:t xml:space="preserve"> хранение ИСС допускается только на одном компьютере (сервере). Допускается доступ к ИСС по локальной компьютерной сети одного юридического лица </w:t>
      </w:r>
      <w:r>
        <w:rPr>
          <w:sz w:val="22"/>
          <w:szCs w:val="22"/>
          <w:lang w:val="en-US"/>
        </w:rPr>
        <w:t xml:space="preserve">c</w:t>
      </w:r>
      <w:r>
        <w:rPr>
          <w:sz w:val="22"/>
          <w:szCs w:val="22"/>
        </w:rPr>
        <w:t xml:space="preserve"> к</w:t>
      </w:r>
      <w:r>
        <w:rPr>
          <w:sz w:val="22"/>
          <w:szCs w:val="22"/>
        </w:rPr>
        <w:t xml:space="preserve">омпьютеров (пользовательских рабочих мест), количество которых указано в Техническом задании (Приложение 1 к настоящему Договору), находящихся в одном здании. По согласованию с Исполнителем допускаются исключения, которые явно указываются в Техническом зад</w:t>
      </w:r>
      <w:r>
        <w:rPr>
          <w:sz w:val="22"/>
          <w:szCs w:val="22"/>
        </w:rPr>
        <w:t xml:space="preserve">ании (Приложение 1 к настоящему Договору): пользование ИСС в локальной сети сотрудниками, находящимися в рядом расположенных зданиях; пользование ИСС сотрудниками нескольких юридических лиц, входящими в одну бизнес-структуру, и находящимися в одном здании.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85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5. Вариант лицензирования, количе</w:t>
      </w:r>
      <w:r>
        <w:rPr>
          <w:sz w:val="22"/>
          <w:szCs w:val="22"/>
        </w:rPr>
        <w:t xml:space="preserve">ство и адреса установок ИСС, количество пользовательских рабочих мест, перечень (адреса) конкретных зданий (офисов) и наименований юридических лиц, которым согласно Техническому заданию (Приложение 1 к настоящему Договору) предоставляется доступ к ИСС или </w:t>
      </w:r>
      <w:r>
        <w:rPr>
          <w:sz w:val="22"/>
          <w:szCs w:val="22"/>
        </w:rPr>
        <w:t xml:space="preserve">на территории,</w:t>
      </w:r>
      <w:r>
        <w:rPr>
          <w:sz w:val="22"/>
          <w:szCs w:val="22"/>
        </w:rPr>
        <w:t xml:space="preserve"> которых установлены ИСС, являются существенными условиями настоящего Договора и могут быть изменены только по взаимному согласию Сторон.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85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85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851"/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80"/>
        <w:gridCol w:w="4725"/>
      </w:tblGrid>
      <w:tr>
        <w:tblPrEx/>
        <w:trPr>
          <w:jc w:val="center"/>
        </w:trPr>
        <w:tc>
          <w:tcPr>
            <w:shd w:val="clear" w:color="auto" w:fill="ffffff" w:themeFill="background1"/>
            <w:tcW w:w="4680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Заказчика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_________________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472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Исполнителя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___________________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П</w:t>
      </w:r>
      <w:r>
        <w:rPr>
          <w:sz w:val="22"/>
          <w:szCs w:val="22"/>
        </w:rPr>
        <w:t xml:space="preserve">риложени</w:t>
      </w:r>
      <w:r>
        <w:rPr>
          <w:sz w:val="22"/>
          <w:szCs w:val="22"/>
        </w:rPr>
        <w:t xml:space="preserve">е </w:t>
      </w:r>
      <w:r>
        <w:rPr>
          <w:sz w:val="22"/>
          <w:szCs w:val="22"/>
        </w:rPr>
        <w:t xml:space="preserve">4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к договору № </w:t>
      </w:r>
      <w:r>
        <w:rPr>
          <w:sz w:val="22"/>
          <w:szCs w:val="22"/>
        </w:rPr>
        <w:t xml:space="preserve">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от «___» __________ 20__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425"/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Требования к техническим ресурсам </w:t>
      </w:r>
      <w:r>
        <w:rPr>
          <w:b/>
          <w:bCs/>
          <w:sz w:val="22"/>
          <w:szCs w:val="22"/>
        </w:rPr>
        <w:t xml:space="preserve">Заказчика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425"/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Аппаратное обеспечение компьютера, на которого устанавливаются компоненты серверной части ИСС, должно иметь параметры не хуже: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- 2-ядерная, 64-битная серверная платформа AMD64/X86_64 под управлением OS Linux или Windows;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Тактовая частота процессора — 2 ГГц;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Объем оперативной памяти — 8 Гб;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Скорость работы сетевой карты — 100 Мбит/с;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Объем необходимого дискового пространства определяется объемом устанавливаемых ИСС.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Серверные компоненты ИСС функционируют в средах операционных систем: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- Microsoft Windows Server 2008 R2;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- Microsoft Windows Server 2012;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- Microsoft Windows Server 2016;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- Microsoft Windows Server 2019;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- </w:t>
      </w:r>
      <w:r>
        <w:rPr>
          <w:sz w:val="22"/>
          <w:szCs w:val="22"/>
          <w:lang w:val="en-US"/>
        </w:rPr>
        <w:t xml:space="preserve">Microsoft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 xml:space="preserve">Windows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 xml:space="preserve">Server</w:t>
      </w:r>
      <w:r>
        <w:rPr>
          <w:sz w:val="22"/>
          <w:szCs w:val="22"/>
          <w:lang w:val="en-US"/>
        </w:rPr>
        <w:t xml:space="preserve"> 2022;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- </w:t>
      </w:r>
      <w:r>
        <w:rPr>
          <w:sz w:val="22"/>
          <w:szCs w:val="22"/>
        </w:rPr>
        <w:t xml:space="preserve">Операционная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система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 xml:space="preserve">Linux</w:t>
      </w:r>
      <w:r>
        <w:rPr>
          <w:sz w:val="22"/>
          <w:szCs w:val="22"/>
          <w:lang w:val="en-US"/>
        </w:rPr>
        <w:t xml:space="preserve">.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Любой дистрибутив, собранный на ядре версии 3.0.0 и выше.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Аппаратное обеспечение компьютера, на которого устанавливаются компоненты клиентской части ИСС, должно иметь параметры не хуже: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- 32- и 64-битная операционная система Windows 7, 8, 10, Linux;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Тактовая частота процессора — 2 ГГц;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Объем оперативной памяти — не менее 4Гб;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Скорость работы сетевой карты — от 100 Мбит/с.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Доступ к ИСС с пользовательских рабочих мест может осуществляться при помощи одного из перечисленных ниже веб-браузеров последних версий: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 xml:space="preserve">- Google Chrome;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- Mozilla Firefox;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- Microsoft IE — </w:t>
      </w:r>
      <w:r>
        <w:rPr>
          <w:sz w:val="22"/>
          <w:szCs w:val="22"/>
        </w:rPr>
        <w:t xml:space="preserve">не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ниже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версии</w:t>
      </w:r>
      <w:r>
        <w:rPr>
          <w:sz w:val="22"/>
          <w:szCs w:val="22"/>
          <w:lang w:val="en-US"/>
        </w:rPr>
        <w:t xml:space="preserve"> 11;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- Microsoft Edge;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- Opera;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 xml:space="preserve">- </w:t>
      </w:r>
      <w:r>
        <w:rPr>
          <w:sz w:val="22"/>
          <w:szCs w:val="22"/>
        </w:rPr>
        <w:t xml:space="preserve">Яндекс</w:t>
      </w:r>
      <w:r>
        <w:rPr>
          <w:sz w:val="22"/>
          <w:szCs w:val="22"/>
          <w:lang w:val="en-US"/>
        </w:rPr>
        <w:t xml:space="preserve">.</w:t>
      </w:r>
      <w:r>
        <w:rPr>
          <w:sz w:val="22"/>
          <w:szCs w:val="22"/>
        </w:rPr>
        <w:t xml:space="preserve">Браузер</w:t>
      </w:r>
      <w:r>
        <w:rPr>
          <w:sz w:val="22"/>
          <w:szCs w:val="22"/>
          <w:lang w:val="en-US"/>
        </w:rPr>
        <w:t xml:space="preserve">.</w:t>
      </w: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ля корректной работы в браузере должна быть включена поддержка javascript, разрешено сохранение cookies, разрешены всплывающие окна. Требований к операционной системе, в среде которой развёрнут браузер не предъявляется, в т.ч. это могут быть Android и iOS.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Для обеспечения работоспособности ИСС на рабочем месте Пользователя должна быть предусмотрена установка следующего программного обеспечения: пакет для работы с файлами форматов rtf, doc, xls.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Для установки средства защиты на компьютере-сервере, должен быть предусмотрен вход под электронный USB-ключ.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Для использования сервиса «Служба поддержки пользователей» и/или проведения сопровождения ИСС через Интерн</w:t>
      </w:r>
      <w:r>
        <w:rPr>
          <w:sz w:val="22"/>
          <w:szCs w:val="22"/>
        </w:rPr>
        <w:t xml:space="preserve">ет серверная часть ИСС должна иметь выход в Интернет. При необходимости ip-адреса ресурсов Исполнителя и/или Правообладатель могут быть внесены в список разрешенных для контактов с серверной частью ИСС, установленной на аппаратном обеспечении Пользователя.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80"/>
        <w:gridCol w:w="4725"/>
      </w:tblGrid>
      <w:tr>
        <w:tblPrEx/>
        <w:trPr>
          <w:jc w:val="center"/>
          <w:trHeight w:val="856"/>
        </w:trPr>
        <w:tc>
          <w:tcPr>
            <w:shd w:val="clear" w:color="auto" w:fill="ffffff" w:themeFill="background1"/>
            <w:tcW w:w="4680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Заказчика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__________________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472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Исполнителя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___________________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right="29"/>
        <w:spacing w:line="264" w:lineRule="auto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sectPr>
      <w:footerReference w:type="default" r:id="rId9"/>
      <w:footnotePr/>
      <w:endnotePr/>
      <w:type w:val="nextPage"/>
      <w:pgSz w:w="11906" w:h="16838" w:orient="portrait"/>
      <w:pgMar w:top="709" w:right="707" w:bottom="851" w:left="1276" w:header="426" w:footer="56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Courier New">
    <w:panose1 w:val="02070409020205020404"/>
  </w:font>
  <w:font w:name="Tahoma">
    <w:panose1 w:val="020B0606040504020204"/>
  </w:font>
  <w:font w:name="Times New Roman">
    <w:panose1 w:val="02020603050405020304"/>
  </w:font>
  <w:font w:name="Cambria">
    <w:panose1 w:val="02040503050406030204"/>
  </w:font>
  <w:font w:name="HBHPA L+ Optimum AP">
    <w:panose1 w:val="02000603000000000000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  <w:rPr>
        <w:rStyle w:val="958"/>
      </w:rPr>
      <w:framePr w:wrap="auto" w:vAnchor="text" w:hAnchor="margin" w:xAlign="right" w:y="1"/>
    </w:pPr>
    <w:r>
      <w:rPr>
        <w:rStyle w:val="958"/>
      </w:rPr>
      <w:fldChar w:fldCharType="begin"/>
    </w:r>
    <w:r>
      <w:rPr>
        <w:rStyle w:val="958"/>
      </w:rPr>
      <w:instrText xml:space="preserve"> PAGE  \* Arabic </w:instrText>
    </w:r>
    <w:r>
      <w:rPr>
        <w:rStyle w:val="958"/>
      </w:rPr>
      <w:fldChar w:fldCharType="separate"/>
    </w:r>
    <w:r>
      <w:rPr>
        <w:rStyle w:val="958"/>
      </w:rPr>
      <w:t xml:space="preserve">6</w:t>
    </w:r>
    <w:r>
      <w:rPr>
        <w:rStyle w:val="958"/>
      </w:rPr>
      <w:fldChar w:fldCharType="end"/>
    </w:r>
    <w:r>
      <w:rPr>
        <w:rStyle w:val="958"/>
      </w:rPr>
    </w:r>
    <w:r>
      <w:rPr>
        <w:rStyle w:val="958"/>
      </w:rPr>
    </w:r>
  </w:p>
  <w:p>
    <w:pPr>
      <w:pStyle w:val="955"/>
      <w:ind w:right="360"/>
    </w:pPr>
    <w:r/>
    <w:r/>
  </w:p>
  <w:p>
    <w:pPr>
      <w:pStyle w:val="955"/>
      <w:ind w:right="360"/>
      <w:rPr>
        <w:i/>
      </w:rPr>
    </w:pPr>
    <w:r>
      <w:rPr>
        <w:i/>
      </w:rPr>
    </w:r>
    <w:r>
      <w:rPr>
        <w:i/>
      </w:rPr>
    </w:r>
    <w:r>
      <w:rPr>
        <w:i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13" w:hanging="227"/>
        <w:tabs>
          <w:tab w:val="num" w:pos="1013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47" w:hanging="360"/>
        <w:tabs>
          <w:tab w:val="num" w:pos="1647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67" w:hanging="360"/>
        <w:tabs>
          <w:tab w:val="num" w:pos="236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87" w:hanging="360"/>
        <w:tabs>
          <w:tab w:val="num" w:pos="308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07" w:hanging="360"/>
        <w:tabs>
          <w:tab w:val="num" w:pos="380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27" w:hanging="360"/>
        <w:tabs>
          <w:tab w:val="num" w:pos="452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47" w:hanging="360"/>
        <w:tabs>
          <w:tab w:val="num" w:pos="524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67" w:hanging="360"/>
        <w:tabs>
          <w:tab w:val="num" w:pos="596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87" w:hanging="360"/>
        <w:tabs>
          <w:tab w:val="num" w:pos="6687" w:leader="none"/>
        </w:tabs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146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866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226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946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306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4026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86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106" w:hanging="1800"/>
      </w:pPr>
      <w:rPr>
        <w:rFonts w:hint="default"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0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286" w:hanging="435"/>
      </w:pPr>
      <w:rPr>
        <w:rFonts w:cs="Times New Roman"/>
        <w:b w:val="0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 w:ascii="Times New Roman" w:hAnsi="Times New Roman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 w:ascii="Times New Roman" w:hAnsi="Times New Roman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hint="default" w:ascii="Times New Roman" w:hAnsi="Times New Roman" w:cs="Times New Roman"/>
      </w:r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10" w:hanging="510"/>
        <w:tabs>
          <w:tab w:val="num" w:pos="510" w:leader="none"/>
        </w:tabs>
      </w:pPr>
      <w:rPr>
        <w:rFonts w:cs="Times New Roman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361" w:hanging="510"/>
        <w:tabs>
          <w:tab w:val="num" w:pos="1361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  <w:tabs>
          <w:tab w:val="num" w:pos="143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 w:cs="Times New Roman"/>
      </w:rPr>
    </w:lvl>
    <w:lvl w:ilvl="1">
      <w:start w:val="3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 w:cs="Times New Roman"/>
      </w:rPr>
    </w:lvl>
    <w:lvl w:ilvl="2">
      <w:start w:val="5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 w:cs="Times New Roman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cs="Times New Roman"/>
      </w:rPr>
    </w:lvl>
    <w:lvl w:ilvl="1">
      <w:start w:val="4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2422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273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4484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5335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6546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7397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8608" w:hanging="1800"/>
      </w:pPr>
      <w:rPr>
        <w:rFonts w:hint="default"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 w:ascii="Times New Roman" w:hAnsi="Times New Roman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 w:ascii="Times New Roman" w:hAnsi="Times New Roman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hint="default" w:ascii="Times New Roman" w:hAnsi="Times New Roman" w:cs="Times New Roman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 w:cs="Times New Roman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0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540"/>
        <w:tabs>
          <w:tab w:val="num" w:pos="900" w:leader="none"/>
        </w:tabs>
      </w:pPr>
      <w:rPr>
        <w:rFonts w:hint="default"/>
        <w:b/>
      </w:rPr>
    </w:lvl>
    <w:lvl w:ilvl="1">
      <w:start w:val="1"/>
      <w:numFmt w:val="decimal"/>
      <w:pStyle w:val="983"/>
      <w:isLgl w:val="false"/>
      <w:suff w:val="tab"/>
      <w:lvlText w:val="%1.%2."/>
      <w:lvlJc w:val="left"/>
      <w:pPr>
        <w:ind w:left="2809" w:hanging="540"/>
        <w:tabs>
          <w:tab w:val="num" w:pos="2809" w:leader="none"/>
        </w:tabs>
      </w:pPr>
      <w:rPr>
        <w:rFonts w:hint="default"/>
        <w:b w:val="0"/>
        <w:strike w:val="0"/>
        <w:color w:val="auto"/>
        <w:sz w:val="23"/>
        <w:szCs w:val="23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475" w:hanging="720"/>
        <w:tabs>
          <w:tab w:val="num" w:pos="5475" w:leader="none"/>
        </w:tabs>
      </w:pPr>
      <w:rPr>
        <w:rFonts w:hint="default"/>
        <w:sz w:val="22"/>
        <w:szCs w:val="22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  <w:tabs>
          <w:tab w:val="num" w:pos="10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  <w:tabs>
          <w:tab w:val="num" w:pos="14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  <w:tabs>
          <w:tab w:val="num" w:pos="14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18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  <w:tabs>
          <w:tab w:val="num" w:pos="18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  <w:tabs>
          <w:tab w:val="num" w:pos="2160" w:leader="none"/>
        </w:tabs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  <w:rPr>
        <w:rFonts w:hint="default"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  <w:rPr>
        <w:rFonts w:hint="default" w:ascii="Times New Roman" w:hAnsi="Times New Roman"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  <w:tabs>
          <w:tab w:val="num" w:pos="720" w:leader="none"/>
        </w:tabs>
      </w:pPr>
      <w:rPr>
        <w:rFonts w:hint="default" w:ascii="Times New Roman" w:hAnsi="Times New Roman"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 w:ascii="Times New Roman" w:hAnsi="Times New Roman"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  <w:tabs>
          <w:tab w:val="num" w:pos="1440" w:leader="none"/>
        </w:tabs>
      </w:pPr>
      <w:rPr>
        <w:rFonts w:hint="default" w:ascii="Times New Roman" w:hAnsi="Times New Roman" w:cs="Times New Roman"/>
      </w:rPr>
    </w:lvl>
  </w:abstractNum>
  <w:abstractNum w:abstractNumId="2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  <w:tabs>
          <w:tab w:val="num" w:pos="107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4">
    <w:multiLevelType w:val="hybridMultilevel"/>
    <w:lvl w:ilvl="0">
      <w:start w:val="10"/>
      <w:numFmt w:val="decimal"/>
      <w:isLgl w:val="false"/>
      <w:suff w:val="tab"/>
      <w:lvlText w:val="%1"/>
      <w:lvlJc w:val="left"/>
      <w:pPr>
        <w:ind w:left="375" w:hanging="375"/>
      </w:pPr>
      <w:rPr>
        <w:rFonts w:cs="Times New Roman"/>
      </w:rPr>
    </w:lvl>
    <w:lvl w:ilvl="1">
      <w:start w:val="2"/>
      <w:numFmt w:val="decimal"/>
      <w:isLgl w:val="false"/>
      <w:suff w:val="tab"/>
      <w:lvlText w:val="%1.%2"/>
      <w:lvlJc w:val="left"/>
      <w:pPr>
        <w:ind w:left="375" w:hanging="375"/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146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866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226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946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306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4026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86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106" w:hanging="1800"/>
      </w:pPr>
      <w:rPr>
        <w:rFonts w:hint="default" w:cs="Times New Roman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?"/>
      <w:lvlJc w:val="left"/>
      <w:pPr>
        <w:ind w:left="1004" w:hanging="360"/>
        <w:tabs>
          <w:tab w:val="num" w:pos="1004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  <w:tabs>
          <w:tab w:val="num" w:pos="1724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?"/>
      <w:lvlJc w:val="left"/>
      <w:pPr>
        <w:ind w:left="2444" w:hanging="360"/>
        <w:tabs>
          <w:tab w:val="num" w:pos="2444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?"/>
      <w:lvlJc w:val="left"/>
      <w:pPr>
        <w:ind w:left="3164" w:hanging="360"/>
        <w:tabs>
          <w:tab w:val="num" w:pos="3164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  <w:tabs>
          <w:tab w:val="num" w:pos="3884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?"/>
      <w:lvlJc w:val="left"/>
      <w:pPr>
        <w:ind w:left="4604" w:hanging="360"/>
        <w:tabs>
          <w:tab w:val="num" w:pos="4604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?"/>
      <w:lvlJc w:val="left"/>
      <w:pPr>
        <w:ind w:left="5324" w:hanging="360"/>
        <w:tabs>
          <w:tab w:val="num" w:pos="5324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  <w:tabs>
          <w:tab w:val="num" w:pos="6044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?"/>
      <w:lvlJc w:val="left"/>
      <w:pPr>
        <w:ind w:left="6764" w:hanging="360"/>
        <w:tabs>
          <w:tab w:val="num" w:pos="6764" w:leader="none"/>
        </w:tabs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2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</w:rPr>
    </w:lvl>
    <w:lvl w:ilvl="1">
      <w:start w:val="6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 w:cs="Times New Roman"/>
      </w:rPr>
    </w:lvl>
  </w:abstractNum>
  <w:abstractNum w:abstractNumId="3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</w:rPr>
    </w:lvl>
    <w:lvl w:ilvl="1">
      <w:start w:val="5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 w:cs="Times New Roman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2149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</w:rPr>
    </w:lvl>
    <w:lvl w:ilvl="1">
      <w:start w:val="4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 w:cs="Times New Roman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572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0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14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28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72" w:hanging="1800"/>
      </w:pPr>
    </w:lvl>
  </w:abstractNum>
  <w:abstractNum w:abstractNumId="3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146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866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226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946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306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4026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86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106" w:hanging="1800"/>
      </w:pPr>
      <w:rPr>
        <w:rFonts w:hint="default" w:cs="Times New Roman"/>
      </w:rPr>
    </w:lvl>
  </w:abstractNum>
  <w:abstractNum w:abstractNumId="4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8"/>
  </w:num>
  <w:num w:numId="2">
    <w:abstractNumId w:val="21"/>
  </w:num>
  <w:num w:numId="3">
    <w:abstractNumId w:val="16"/>
  </w:num>
  <w:num w:numId="4">
    <w:abstractNumId w:val="41"/>
  </w:num>
  <w:num w:numId="5">
    <w:abstractNumId w:val="27"/>
  </w:num>
  <w:num w:numId="6">
    <w:abstractNumId w:val="39"/>
  </w:num>
  <w:num w:numId="7">
    <w:abstractNumId w:val="5"/>
  </w:num>
  <w:num w:numId="8">
    <w:abstractNumId w:val="12"/>
  </w:num>
  <w:num w:numId="9">
    <w:abstractNumId w:val="3"/>
  </w:num>
  <w:num w:numId="10">
    <w:abstractNumId w:val="13"/>
  </w:num>
  <w:num w:numId="11">
    <w:abstractNumId w:val="36"/>
  </w:num>
  <w:num w:numId="12">
    <w:abstractNumId w:val="31"/>
  </w:num>
  <w:num w:numId="13">
    <w:abstractNumId w:val="14"/>
  </w:num>
  <w:num w:numId="14">
    <w:abstractNumId w:val="7"/>
  </w:num>
  <w:num w:numId="15">
    <w:abstractNumId w:val="26"/>
  </w:num>
  <w:num w:numId="16">
    <w:abstractNumId w:val="19"/>
  </w:num>
  <w:num w:numId="17">
    <w:abstractNumId w:val="2"/>
  </w:num>
  <w:num w:numId="18">
    <w:abstractNumId w:val="28"/>
  </w:num>
  <w:num w:numId="19">
    <w:abstractNumId w:val="9"/>
  </w:num>
  <w:num w:numId="20">
    <w:abstractNumId w:val="4"/>
  </w:num>
  <w:num w:numId="21">
    <w:abstractNumId w:val="1"/>
  </w:num>
  <w:num w:numId="22">
    <w:abstractNumId w:val="23"/>
  </w:num>
  <w:num w:numId="23">
    <w:abstractNumId w:val="25"/>
  </w:num>
  <w:num w:numId="24">
    <w:abstractNumId w:val="10"/>
  </w:num>
  <w:num w:numId="25">
    <w:abstractNumId w:val="35"/>
  </w:num>
  <w:num w:numId="26">
    <w:abstractNumId w:val="33"/>
  </w:num>
  <w:num w:numId="27">
    <w:abstractNumId w:val="29"/>
  </w:num>
  <w:num w:numId="28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7"/>
  </w:num>
  <w:num w:numId="32">
    <w:abstractNumId w:val="22"/>
  </w:num>
  <w:num w:numId="33">
    <w:abstractNumId w:val="15"/>
  </w:num>
  <w:num w:numId="34">
    <w:abstractNumId w:val="30"/>
  </w:num>
  <w:num w:numId="35">
    <w:abstractNumId w:val="38"/>
  </w:num>
  <w:num w:numId="36">
    <w:abstractNumId w:val="11"/>
  </w:num>
  <w:num w:numId="37">
    <w:abstractNumId w:val="0"/>
  </w:num>
  <w:num w:numId="38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</w:num>
  <w:num w:numId="40">
    <w:abstractNumId w:val="32"/>
  </w:num>
  <w:num w:numId="41">
    <w:abstractNumId w:val="20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4">
    <w:name w:val="Heading 1 Char"/>
    <w:basedOn w:val="936"/>
    <w:link w:val="935"/>
    <w:uiPriority w:val="9"/>
    <w:rPr>
      <w:rFonts w:ascii="Arial" w:hAnsi="Arial" w:eastAsia="Arial" w:cs="Arial"/>
      <w:sz w:val="40"/>
      <w:szCs w:val="40"/>
    </w:rPr>
  </w:style>
  <w:style w:type="paragraph" w:styleId="765">
    <w:name w:val="Heading 2"/>
    <w:basedOn w:val="934"/>
    <w:next w:val="934"/>
    <w:link w:val="76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6">
    <w:name w:val="Heading 2 Char"/>
    <w:basedOn w:val="936"/>
    <w:link w:val="765"/>
    <w:uiPriority w:val="9"/>
    <w:rPr>
      <w:rFonts w:ascii="Arial" w:hAnsi="Arial" w:eastAsia="Arial" w:cs="Arial"/>
      <w:sz w:val="34"/>
    </w:rPr>
  </w:style>
  <w:style w:type="paragraph" w:styleId="767">
    <w:name w:val="Heading 3"/>
    <w:basedOn w:val="934"/>
    <w:next w:val="934"/>
    <w:link w:val="76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8">
    <w:name w:val="Heading 3 Char"/>
    <w:basedOn w:val="936"/>
    <w:link w:val="767"/>
    <w:uiPriority w:val="9"/>
    <w:rPr>
      <w:rFonts w:ascii="Arial" w:hAnsi="Arial" w:eastAsia="Arial" w:cs="Arial"/>
      <w:sz w:val="30"/>
      <w:szCs w:val="30"/>
    </w:rPr>
  </w:style>
  <w:style w:type="paragraph" w:styleId="769">
    <w:name w:val="Heading 4"/>
    <w:basedOn w:val="934"/>
    <w:next w:val="934"/>
    <w:link w:val="77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0">
    <w:name w:val="Heading 4 Char"/>
    <w:basedOn w:val="936"/>
    <w:link w:val="769"/>
    <w:uiPriority w:val="9"/>
    <w:rPr>
      <w:rFonts w:ascii="Arial" w:hAnsi="Arial" w:eastAsia="Arial" w:cs="Arial"/>
      <w:b/>
      <w:bCs/>
      <w:sz w:val="26"/>
      <w:szCs w:val="26"/>
    </w:rPr>
  </w:style>
  <w:style w:type="paragraph" w:styleId="771">
    <w:name w:val="Heading 5"/>
    <w:basedOn w:val="934"/>
    <w:next w:val="934"/>
    <w:link w:val="7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2">
    <w:name w:val="Heading 5 Char"/>
    <w:basedOn w:val="936"/>
    <w:link w:val="771"/>
    <w:uiPriority w:val="9"/>
    <w:rPr>
      <w:rFonts w:ascii="Arial" w:hAnsi="Arial" w:eastAsia="Arial" w:cs="Arial"/>
      <w:b/>
      <w:bCs/>
      <w:sz w:val="24"/>
      <w:szCs w:val="24"/>
    </w:rPr>
  </w:style>
  <w:style w:type="paragraph" w:styleId="773">
    <w:name w:val="Heading 6"/>
    <w:basedOn w:val="934"/>
    <w:next w:val="934"/>
    <w:link w:val="7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4">
    <w:name w:val="Heading 6 Char"/>
    <w:basedOn w:val="936"/>
    <w:link w:val="773"/>
    <w:uiPriority w:val="9"/>
    <w:rPr>
      <w:rFonts w:ascii="Arial" w:hAnsi="Arial" w:eastAsia="Arial" w:cs="Arial"/>
      <w:b/>
      <w:bCs/>
      <w:sz w:val="22"/>
      <w:szCs w:val="22"/>
    </w:rPr>
  </w:style>
  <w:style w:type="paragraph" w:styleId="775">
    <w:name w:val="Heading 7"/>
    <w:basedOn w:val="934"/>
    <w:next w:val="934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6">
    <w:name w:val="Heading 7 Char"/>
    <w:basedOn w:val="936"/>
    <w:link w:val="7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7">
    <w:name w:val="Heading 8"/>
    <w:basedOn w:val="934"/>
    <w:next w:val="934"/>
    <w:link w:val="7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8">
    <w:name w:val="Heading 8 Char"/>
    <w:basedOn w:val="936"/>
    <w:link w:val="777"/>
    <w:uiPriority w:val="9"/>
    <w:rPr>
      <w:rFonts w:ascii="Arial" w:hAnsi="Arial" w:eastAsia="Arial" w:cs="Arial"/>
      <w:i/>
      <w:iCs/>
      <w:sz w:val="22"/>
      <w:szCs w:val="22"/>
    </w:rPr>
  </w:style>
  <w:style w:type="paragraph" w:styleId="779">
    <w:name w:val="Heading 9"/>
    <w:basedOn w:val="934"/>
    <w:next w:val="934"/>
    <w:link w:val="7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0">
    <w:name w:val="Heading 9 Char"/>
    <w:basedOn w:val="936"/>
    <w:link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81">
    <w:name w:val="Title Char"/>
    <w:basedOn w:val="936"/>
    <w:link w:val="966"/>
    <w:uiPriority w:val="10"/>
    <w:rPr>
      <w:sz w:val="48"/>
      <w:szCs w:val="48"/>
    </w:rPr>
  </w:style>
  <w:style w:type="paragraph" w:styleId="782">
    <w:name w:val="Subtitle"/>
    <w:basedOn w:val="934"/>
    <w:next w:val="934"/>
    <w:link w:val="783"/>
    <w:uiPriority w:val="11"/>
    <w:qFormat/>
    <w:pPr>
      <w:spacing w:before="200" w:after="200"/>
    </w:pPr>
    <w:rPr>
      <w:sz w:val="24"/>
      <w:szCs w:val="24"/>
    </w:rPr>
  </w:style>
  <w:style w:type="character" w:styleId="783">
    <w:name w:val="Subtitle Char"/>
    <w:basedOn w:val="936"/>
    <w:link w:val="782"/>
    <w:uiPriority w:val="11"/>
    <w:rPr>
      <w:sz w:val="24"/>
      <w:szCs w:val="24"/>
    </w:rPr>
  </w:style>
  <w:style w:type="paragraph" w:styleId="784">
    <w:name w:val="Quote"/>
    <w:basedOn w:val="934"/>
    <w:next w:val="934"/>
    <w:link w:val="785"/>
    <w:uiPriority w:val="29"/>
    <w:qFormat/>
    <w:pPr>
      <w:ind w:left="720" w:right="720"/>
    </w:pPr>
    <w:rPr>
      <w:i/>
    </w:rPr>
  </w:style>
  <w:style w:type="character" w:styleId="785">
    <w:name w:val="Quote Char"/>
    <w:link w:val="784"/>
    <w:uiPriority w:val="29"/>
    <w:rPr>
      <w:i/>
    </w:rPr>
  </w:style>
  <w:style w:type="paragraph" w:styleId="786">
    <w:name w:val="Intense Quote"/>
    <w:basedOn w:val="934"/>
    <w:next w:val="934"/>
    <w:link w:val="7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7">
    <w:name w:val="Intense Quote Char"/>
    <w:link w:val="786"/>
    <w:uiPriority w:val="30"/>
    <w:rPr>
      <w:i/>
    </w:rPr>
  </w:style>
  <w:style w:type="character" w:styleId="788">
    <w:name w:val="Header Char"/>
    <w:basedOn w:val="936"/>
    <w:link w:val="953"/>
    <w:uiPriority w:val="99"/>
  </w:style>
  <w:style w:type="character" w:styleId="789">
    <w:name w:val="Footer Char"/>
    <w:basedOn w:val="936"/>
    <w:link w:val="955"/>
    <w:uiPriority w:val="99"/>
  </w:style>
  <w:style w:type="paragraph" w:styleId="790">
    <w:name w:val="Caption"/>
    <w:basedOn w:val="934"/>
    <w:next w:val="934"/>
    <w:link w:val="7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1">
    <w:name w:val="Caption Char"/>
    <w:basedOn w:val="936"/>
    <w:link w:val="790"/>
    <w:uiPriority w:val="35"/>
    <w:rPr>
      <w:b/>
      <w:bCs/>
      <w:color w:val="4f81bd" w:themeColor="accent1"/>
      <w:sz w:val="18"/>
      <w:szCs w:val="18"/>
    </w:rPr>
  </w:style>
  <w:style w:type="table" w:styleId="792">
    <w:name w:val="Table Grid Light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3">
    <w:name w:val="Plain Table 1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4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0">
    <w:name w:val="Grid Table 4 - Accent 1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1">
    <w:name w:val="Grid Table 4 - Accent 2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Grid Table 4 - Accent 3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3">
    <w:name w:val="Grid Table 4 - Accent 4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Grid Table 4 - Accent 5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5">
    <w:name w:val="Grid Table 4 - Accent 6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6">
    <w:name w:val="Grid Table 5 Dark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7">
    <w:name w:val="Grid Table 5 Dark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28">
    <w:name w:val="Grid Table 5 Dark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29">
    <w:name w:val="Grid Table 5 Dark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30">
    <w:name w:val="Grid Table 5 Dark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32">
    <w:name w:val="Grid Table 5 Dark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33">
    <w:name w:val="Grid Table 6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4">
    <w:name w:val="Grid Table 6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5">
    <w:name w:val="Grid Table 6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6">
    <w:name w:val="Grid Table 6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7">
    <w:name w:val="Grid Table 6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8">
    <w:name w:val="Grid Table 6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9">
    <w:name w:val="Grid Table 6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0">
    <w:name w:val="Grid Table 7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5">
    <w:name w:val="List Table 2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6">
    <w:name w:val="List Table 2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7">
    <w:name w:val="List Table 2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8">
    <w:name w:val="List Table 2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9">
    <w:name w:val="List Table 2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0">
    <w:name w:val="List Table 2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1">
    <w:name w:val="List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5 Dark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5 Dark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6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3">
    <w:name w:val="List Table 6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4">
    <w:name w:val="List Table 6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5">
    <w:name w:val="List Table 6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6">
    <w:name w:val="List Table 6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7">
    <w:name w:val="List Table 6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8">
    <w:name w:val="List Table 6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9">
    <w:name w:val="List Table 7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0">
    <w:name w:val="List Table 7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91">
    <w:name w:val="List Table 7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92">
    <w:name w:val="List Table 7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93">
    <w:name w:val="List Table 7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94">
    <w:name w:val="List Table 7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95">
    <w:name w:val="List Table 7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96">
    <w:name w:val="Lined - Accent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7">
    <w:name w:val="Lined - Accent 1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8">
    <w:name w:val="Lined - Accent 2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9">
    <w:name w:val="Lined - Accent 3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0">
    <w:name w:val="Lined - Accent 4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1">
    <w:name w:val="Lined - Accent 5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2">
    <w:name w:val="Lined - Accent 6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3">
    <w:name w:val="Bordered &amp; Lined - Accent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4">
    <w:name w:val="Bordered &amp; Lined - Accent 1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5">
    <w:name w:val="Bordered &amp; Lined - Accent 2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6">
    <w:name w:val="Bordered &amp; Lined - Accent 3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7">
    <w:name w:val="Bordered &amp; Lined - Accent 4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8">
    <w:name w:val="Bordered &amp; Lined - Accent 5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9">
    <w:name w:val="Bordered &amp; Lined - Accent 6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10">
    <w:name w:val="Bordered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1">
    <w:name w:val="Bordered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2">
    <w:name w:val="Bordered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3">
    <w:name w:val="Bordered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4">
    <w:name w:val="Bordered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5">
    <w:name w:val="Bordered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6">
    <w:name w:val="Bordered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7">
    <w:name w:val="footnote text"/>
    <w:basedOn w:val="934"/>
    <w:link w:val="918"/>
    <w:uiPriority w:val="99"/>
    <w:semiHidden/>
    <w:unhideWhenUsed/>
    <w:pPr>
      <w:spacing w:after="40" w:line="240" w:lineRule="auto"/>
    </w:pPr>
    <w:rPr>
      <w:sz w:val="18"/>
    </w:rPr>
  </w:style>
  <w:style w:type="character" w:styleId="918">
    <w:name w:val="Footnote Text Char"/>
    <w:link w:val="917"/>
    <w:uiPriority w:val="99"/>
    <w:rPr>
      <w:sz w:val="18"/>
    </w:rPr>
  </w:style>
  <w:style w:type="character" w:styleId="919">
    <w:name w:val="footnote reference"/>
    <w:basedOn w:val="936"/>
    <w:uiPriority w:val="99"/>
    <w:unhideWhenUsed/>
    <w:rPr>
      <w:vertAlign w:val="superscript"/>
    </w:rPr>
  </w:style>
  <w:style w:type="paragraph" w:styleId="920">
    <w:name w:val="endnote text"/>
    <w:basedOn w:val="934"/>
    <w:link w:val="921"/>
    <w:uiPriority w:val="99"/>
    <w:semiHidden/>
    <w:unhideWhenUsed/>
    <w:pPr>
      <w:spacing w:after="0" w:line="240" w:lineRule="auto"/>
    </w:pPr>
    <w:rPr>
      <w:sz w:val="20"/>
    </w:rPr>
  </w:style>
  <w:style w:type="character" w:styleId="921">
    <w:name w:val="Endnote Text Char"/>
    <w:link w:val="920"/>
    <w:uiPriority w:val="99"/>
    <w:rPr>
      <w:sz w:val="20"/>
    </w:rPr>
  </w:style>
  <w:style w:type="character" w:styleId="922">
    <w:name w:val="endnote reference"/>
    <w:basedOn w:val="936"/>
    <w:uiPriority w:val="99"/>
    <w:semiHidden/>
    <w:unhideWhenUsed/>
    <w:rPr>
      <w:vertAlign w:val="superscript"/>
    </w:rPr>
  </w:style>
  <w:style w:type="paragraph" w:styleId="923">
    <w:name w:val="toc 1"/>
    <w:basedOn w:val="934"/>
    <w:next w:val="934"/>
    <w:uiPriority w:val="39"/>
    <w:unhideWhenUsed/>
    <w:pPr>
      <w:ind w:left="0" w:right="0" w:firstLine="0"/>
      <w:spacing w:after="57"/>
    </w:pPr>
  </w:style>
  <w:style w:type="paragraph" w:styleId="924">
    <w:name w:val="toc 2"/>
    <w:basedOn w:val="934"/>
    <w:next w:val="934"/>
    <w:uiPriority w:val="39"/>
    <w:unhideWhenUsed/>
    <w:pPr>
      <w:ind w:left="283" w:right="0" w:firstLine="0"/>
      <w:spacing w:after="57"/>
    </w:pPr>
  </w:style>
  <w:style w:type="paragraph" w:styleId="925">
    <w:name w:val="toc 3"/>
    <w:basedOn w:val="934"/>
    <w:next w:val="934"/>
    <w:uiPriority w:val="39"/>
    <w:unhideWhenUsed/>
    <w:pPr>
      <w:ind w:left="567" w:right="0" w:firstLine="0"/>
      <w:spacing w:after="57"/>
    </w:pPr>
  </w:style>
  <w:style w:type="paragraph" w:styleId="926">
    <w:name w:val="toc 4"/>
    <w:basedOn w:val="934"/>
    <w:next w:val="934"/>
    <w:uiPriority w:val="39"/>
    <w:unhideWhenUsed/>
    <w:pPr>
      <w:ind w:left="850" w:right="0" w:firstLine="0"/>
      <w:spacing w:after="57"/>
    </w:pPr>
  </w:style>
  <w:style w:type="paragraph" w:styleId="927">
    <w:name w:val="toc 5"/>
    <w:basedOn w:val="934"/>
    <w:next w:val="934"/>
    <w:uiPriority w:val="39"/>
    <w:unhideWhenUsed/>
    <w:pPr>
      <w:ind w:left="1134" w:right="0" w:firstLine="0"/>
      <w:spacing w:after="57"/>
    </w:pPr>
  </w:style>
  <w:style w:type="paragraph" w:styleId="928">
    <w:name w:val="toc 6"/>
    <w:basedOn w:val="934"/>
    <w:next w:val="934"/>
    <w:uiPriority w:val="39"/>
    <w:unhideWhenUsed/>
    <w:pPr>
      <w:ind w:left="1417" w:right="0" w:firstLine="0"/>
      <w:spacing w:after="57"/>
    </w:pPr>
  </w:style>
  <w:style w:type="paragraph" w:styleId="929">
    <w:name w:val="toc 7"/>
    <w:basedOn w:val="934"/>
    <w:next w:val="934"/>
    <w:uiPriority w:val="39"/>
    <w:unhideWhenUsed/>
    <w:pPr>
      <w:ind w:left="1701" w:right="0" w:firstLine="0"/>
      <w:spacing w:after="57"/>
    </w:pPr>
  </w:style>
  <w:style w:type="paragraph" w:styleId="930">
    <w:name w:val="toc 8"/>
    <w:basedOn w:val="934"/>
    <w:next w:val="934"/>
    <w:uiPriority w:val="39"/>
    <w:unhideWhenUsed/>
    <w:pPr>
      <w:ind w:left="1984" w:right="0" w:firstLine="0"/>
      <w:spacing w:after="57"/>
    </w:pPr>
  </w:style>
  <w:style w:type="paragraph" w:styleId="931">
    <w:name w:val="toc 9"/>
    <w:basedOn w:val="934"/>
    <w:next w:val="934"/>
    <w:uiPriority w:val="39"/>
    <w:unhideWhenUsed/>
    <w:pPr>
      <w:ind w:left="2268" w:right="0" w:firstLine="0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934"/>
    <w:next w:val="934"/>
    <w:uiPriority w:val="99"/>
    <w:unhideWhenUsed/>
    <w:pPr>
      <w:spacing w:after="0" w:afterAutospacing="0"/>
    </w:pPr>
  </w:style>
  <w:style w:type="paragraph" w:styleId="934" w:default="1">
    <w:name w:val="Normal"/>
    <w:qFormat/>
    <w:pPr>
      <w:spacing w:after="0" w:line="240" w:lineRule="auto"/>
    </w:pPr>
    <w:rPr>
      <w:sz w:val="20"/>
      <w:szCs w:val="20"/>
    </w:rPr>
  </w:style>
  <w:style w:type="paragraph" w:styleId="935">
    <w:name w:val="Heading 1"/>
    <w:basedOn w:val="934"/>
    <w:next w:val="934"/>
    <w:link w:val="939"/>
    <w:uiPriority w:val="99"/>
    <w:qFormat/>
    <w:pPr>
      <w:jc w:val="center"/>
      <w:keepNext/>
      <w:outlineLvl w:val="0"/>
    </w:pPr>
    <w:rPr>
      <w:b/>
      <w:bCs/>
    </w:rPr>
  </w:style>
  <w:style w:type="character" w:styleId="936" w:default="1">
    <w:name w:val="Default Paragraph Font"/>
    <w:uiPriority w:val="1"/>
    <w:semiHidden/>
    <w:unhideWhenUsed/>
  </w:style>
  <w:style w:type="table" w:styleId="9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8" w:default="1">
    <w:name w:val="No List"/>
    <w:uiPriority w:val="99"/>
    <w:semiHidden/>
    <w:unhideWhenUsed/>
  </w:style>
  <w:style w:type="character" w:styleId="939" w:customStyle="1">
    <w:name w:val="Заголовок 1 Знак"/>
    <w:basedOn w:val="936"/>
    <w:link w:val="935"/>
    <w:uiPriority w:val="99"/>
    <w:rPr>
      <w:rFonts w:ascii="Cambria" w:hAnsi="Cambria" w:cs="Cambria"/>
      <w:b/>
      <w:bCs/>
      <w:sz w:val="32"/>
      <w:szCs w:val="32"/>
    </w:rPr>
  </w:style>
  <w:style w:type="character" w:styleId="940" w:customStyle="1">
    <w:name w:val="Основной шрифт"/>
    <w:uiPriority w:val="99"/>
  </w:style>
  <w:style w:type="paragraph" w:styleId="941" w:customStyle="1">
    <w:name w:val="H3"/>
    <w:basedOn w:val="934"/>
    <w:next w:val="934"/>
    <w:uiPriority w:val="99"/>
    <w:pPr>
      <w:keepNext/>
      <w:spacing w:before="100" w:after="100"/>
      <w:outlineLvl w:val="3"/>
    </w:pPr>
    <w:rPr>
      <w:b/>
      <w:bCs/>
      <w:sz w:val="28"/>
      <w:szCs w:val="28"/>
    </w:rPr>
  </w:style>
  <w:style w:type="paragraph" w:styleId="942">
    <w:name w:val="Body Text"/>
    <w:basedOn w:val="934"/>
    <w:link w:val="943"/>
    <w:uiPriority w:val="99"/>
    <w:pPr>
      <w:jc w:val="right"/>
    </w:pPr>
  </w:style>
  <w:style w:type="character" w:styleId="943" w:customStyle="1">
    <w:name w:val="Основной текст Знак"/>
    <w:basedOn w:val="936"/>
    <w:link w:val="942"/>
    <w:uiPriority w:val="99"/>
    <w:rPr>
      <w:rFonts w:ascii="Times New Roman" w:hAnsi="Times New Roman" w:cs="Times New Roman"/>
      <w:sz w:val="20"/>
      <w:szCs w:val="20"/>
    </w:rPr>
  </w:style>
  <w:style w:type="paragraph" w:styleId="944">
    <w:name w:val="Body Text Indent"/>
    <w:basedOn w:val="934"/>
    <w:link w:val="945"/>
    <w:uiPriority w:val="99"/>
    <w:pPr>
      <w:jc w:val="both"/>
    </w:pPr>
  </w:style>
  <w:style w:type="character" w:styleId="945" w:customStyle="1">
    <w:name w:val="Основной текст с отступом Знак"/>
    <w:basedOn w:val="936"/>
    <w:link w:val="944"/>
    <w:uiPriority w:val="99"/>
    <w:rPr>
      <w:rFonts w:ascii="Times New Roman" w:hAnsi="Times New Roman" w:cs="Times New Roman"/>
      <w:sz w:val="20"/>
      <w:szCs w:val="20"/>
    </w:rPr>
  </w:style>
  <w:style w:type="character" w:styleId="946" w:customStyle="1">
    <w:name w:val="Основной текст 2 Знак"/>
    <w:basedOn w:val="936"/>
    <w:uiPriority w:val="99"/>
    <w:rPr>
      <w:rFonts w:ascii="Times New Roman" w:hAnsi="Times New Roman" w:cs="Times New Roman"/>
      <w:sz w:val="20"/>
      <w:szCs w:val="20"/>
    </w:rPr>
  </w:style>
  <w:style w:type="paragraph" w:styleId="947">
    <w:name w:val="Body Text Indent 2"/>
    <w:basedOn w:val="934"/>
    <w:link w:val="948"/>
    <w:uiPriority w:val="99"/>
    <w:pPr>
      <w:ind w:firstLine="360"/>
      <w:jc w:val="both"/>
    </w:pPr>
  </w:style>
  <w:style w:type="character" w:styleId="948" w:customStyle="1">
    <w:name w:val="Основной текст с отступом 2 Знак"/>
    <w:basedOn w:val="936"/>
    <w:link w:val="947"/>
    <w:uiPriority w:val="99"/>
    <w:rPr>
      <w:rFonts w:ascii="Times New Roman" w:hAnsi="Times New Roman" w:cs="Times New Roman"/>
      <w:sz w:val="20"/>
      <w:szCs w:val="20"/>
    </w:rPr>
  </w:style>
  <w:style w:type="paragraph" w:styleId="949">
    <w:name w:val="Body Text Indent 3"/>
    <w:basedOn w:val="934"/>
    <w:link w:val="950"/>
    <w:uiPriority w:val="99"/>
    <w:pPr>
      <w:ind w:left="360"/>
      <w:jc w:val="both"/>
    </w:pPr>
  </w:style>
  <w:style w:type="character" w:styleId="950" w:customStyle="1">
    <w:name w:val="Основной текст с отступом 3 Знак"/>
    <w:basedOn w:val="936"/>
    <w:link w:val="949"/>
    <w:uiPriority w:val="99"/>
    <w:rPr>
      <w:rFonts w:ascii="Times New Roman" w:hAnsi="Times New Roman" w:cs="Times New Roman"/>
      <w:sz w:val="16"/>
      <w:szCs w:val="16"/>
    </w:rPr>
  </w:style>
  <w:style w:type="paragraph" w:styleId="951">
    <w:name w:val="Body Text 3"/>
    <w:basedOn w:val="934"/>
    <w:link w:val="952"/>
    <w:uiPriority w:val="99"/>
    <w:pPr>
      <w:jc w:val="center"/>
    </w:pPr>
    <w:rPr>
      <w:b/>
      <w:bCs/>
      <w:color w:val="ff0000"/>
      <w:sz w:val="32"/>
      <w:szCs w:val="32"/>
    </w:rPr>
  </w:style>
  <w:style w:type="character" w:styleId="952" w:customStyle="1">
    <w:name w:val="Основной текст 3 Знак"/>
    <w:basedOn w:val="936"/>
    <w:link w:val="951"/>
    <w:uiPriority w:val="99"/>
    <w:rPr>
      <w:rFonts w:ascii="Times New Roman" w:hAnsi="Times New Roman" w:cs="Times New Roman"/>
      <w:sz w:val="16"/>
      <w:szCs w:val="16"/>
    </w:rPr>
  </w:style>
  <w:style w:type="paragraph" w:styleId="953">
    <w:name w:val="Header"/>
    <w:basedOn w:val="934"/>
    <w:link w:val="954"/>
    <w:uiPriority w:val="99"/>
    <w:pPr>
      <w:tabs>
        <w:tab w:val="center" w:pos="4153" w:leader="none"/>
        <w:tab w:val="right" w:pos="8306" w:leader="none"/>
      </w:tabs>
    </w:pPr>
  </w:style>
  <w:style w:type="character" w:styleId="954" w:customStyle="1">
    <w:name w:val="Верхний колонтитул Знак"/>
    <w:basedOn w:val="936"/>
    <w:link w:val="953"/>
    <w:uiPriority w:val="99"/>
    <w:rPr>
      <w:rFonts w:ascii="Times New Roman" w:hAnsi="Times New Roman" w:cs="Times New Roman"/>
      <w:sz w:val="20"/>
      <w:szCs w:val="20"/>
    </w:rPr>
  </w:style>
  <w:style w:type="paragraph" w:styleId="955">
    <w:name w:val="Footer"/>
    <w:basedOn w:val="934"/>
    <w:link w:val="956"/>
    <w:uiPriority w:val="99"/>
    <w:pPr>
      <w:tabs>
        <w:tab w:val="center" w:pos="4153" w:leader="none"/>
        <w:tab w:val="right" w:pos="8306" w:leader="none"/>
      </w:tabs>
    </w:pPr>
  </w:style>
  <w:style w:type="character" w:styleId="956" w:customStyle="1">
    <w:name w:val="Нижний колонтитул Знак"/>
    <w:basedOn w:val="936"/>
    <w:link w:val="955"/>
    <w:uiPriority w:val="99"/>
    <w:rPr>
      <w:rFonts w:ascii="Times New Roman" w:hAnsi="Times New Roman" w:cs="Times New Roman"/>
      <w:sz w:val="20"/>
      <w:szCs w:val="20"/>
    </w:rPr>
  </w:style>
  <w:style w:type="character" w:styleId="957">
    <w:name w:val="page number"/>
    <w:basedOn w:val="936"/>
    <w:uiPriority w:val="99"/>
    <w:rPr>
      <w:rFonts w:ascii="Times New Roman" w:hAnsi="Times New Roman" w:cs="Times New Roman"/>
    </w:rPr>
  </w:style>
  <w:style w:type="character" w:styleId="958" w:customStyle="1">
    <w:name w:val="номер страницы"/>
    <w:basedOn w:val="940"/>
    <w:rPr>
      <w:rFonts w:ascii="Times New Roman" w:hAnsi="Times New Roman" w:cs="Times New Roman"/>
    </w:rPr>
  </w:style>
  <w:style w:type="paragraph" w:styleId="959">
    <w:name w:val="Balloon Text"/>
    <w:basedOn w:val="934"/>
    <w:link w:val="960"/>
    <w:uiPriority w:val="99"/>
    <w:semiHidden/>
    <w:rPr>
      <w:rFonts w:ascii="Tahoma" w:hAnsi="Tahoma" w:cs="Tahoma"/>
      <w:sz w:val="16"/>
      <w:szCs w:val="16"/>
    </w:rPr>
  </w:style>
  <w:style w:type="character" w:styleId="960" w:customStyle="1">
    <w:name w:val="Текст выноски Знак"/>
    <w:basedOn w:val="936"/>
    <w:link w:val="959"/>
    <w:uiPriority w:val="99"/>
    <w:rPr>
      <w:rFonts w:ascii="Tahoma" w:hAnsi="Tahoma" w:cs="Tahoma"/>
      <w:sz w:val="16"/>
      <w:szCs w:val="16"/>
    </w:rPr>
  </w:style>
  <w:style w:type="paragraph" w:styleId="961">
    <w:name w:val="Body Text 2"/>
    <w:basedOn w:val="934"/>
    <w:link w:val="962"/>
    <w:uiPriority w:val="99"/>
    <w:pPr>
      <w:jc w:val="both"/>
    </w:pPr>
    <w:rPr>
      <w:color w:val="000000"/>
      <w:sz w:val="24"/>
      <w:szCs w:val="24"/>
    </w:rPr>
  </w:style>
  <w:style w:type="character" w:styleId="962" w:customStyle="1">
    <w:name w:val="Основной текст 2 Знак1"/>
    <w:basedOn w:val="936"/>
    <w:link w:val="961"/>
    <w:uiPriority w:val="99"/>
    <w:rPr>
      <w:rFonts w:ascii="Times New Roman" w:hAnsi="Times New Roman" w:cs="Times New Roman"/>
      <w:sz w:val="20"/>
      <w:szCs w:val="20"/>
    </w:rPr>
  </w:style>
  <w:style w:type="paragraph" w:styleId="963">
    <w:name w:val="Normal (Web)"/>
    <w:basedOn w:val="934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64" w:customStyle="1">
    <w:name w:val="Default"/>
    <w:pPr>
      <w:spacing w:after="0" w:line="240" w:lineRule="auto"/>
    </w:pPr>
    <w:rPr>
      <w:rFonts w:ascii="HBHPA L+ Optimum AP" w:hAnsi="HBHPA L+ Optimum AP" w:cs="HBHPA L+ Optimum AP"/>
      <w:color w:val="000000"/>
      <w:sz w:val="24"/>
      <w:szCs w:val="24"/>
    </w:rPr>
  </w:style>
  <w:style w:type="paragraph" w:styleId="965" w:customStyle="1">
    <w:name w:val="ConsNonformat"/>
    <w:pPr>
      <w:spacing w:after="0" w:line="240" w:lineRule="auto"/>
      <w:widowControl w:val="off"/>
    </w:pPr>
    <w:rPr>
      <w:rFonts w:ascii="Courier New" w:hAnsi="Courier New"/>
      <w:sz w:val="20"/>
      <w:szCs w:val="20"/>
    </w:rPr>
  </w:style>
  <w:style w:type="paragraph" w:styleId="966">
    <w:name w:val="Title"/>
    <w:basedOn w:val="934"/>
    <w:link w:val="969"/>
    <w:uiPriority w:val="99"/>
    <w:qFormat/>
    <w:pPr>
      <w:jc w:val="center"/>
      <w:spacing w:line="120" w:lineRule="atLeast"/>
    </w:pPr>
    <w:rPr>
      <w:rFonts w:ascii="Arial" w:hAnsi="Arial"/>
      <w:b/>
      <w:sz w:val="24"/>
    </w:rPr>
  </w:style>
  <w:style w:type="paragraph" w:styleId="967">
    <w:name w:val="List Paragraph"/>
    <w:basedOn w:val="934"/>
    <w:link w:val="968"/>
    <w:uiPriority w:val="34"/>
    <w:qFormat/>
    <w:pPr>
      <w:contextualSpacing/>
      <w:ind w:left="720"/>
      <w:spacing w:after="160" w:line="256" w:lineRule="auto"/>
    </w:pPr>
    <w:rPr>
      <w:rFonts w:ascii="Calibri" w:hAnsi="Calibri"/>
      <w:sz w:val="22"/>
      <w:szCs w:val="22"/>
      <w:lang w:eastAsia="en-US"/>
    </w:rPr>
  </w:style>
  <w:style w:type="character" w:styleId="968" w:customStyle="1">
    <w:name w:val="Абзац списка Знак"/>
    <w:link w:val="967"/>
    <w:uiPriority w:val="99"/>
    <w:qFormat/>
    <w:rPr>
      <w:rFonts w:ascii="Calibri" w:hAnsi="Calibri"/>
      <w:lang w:eastAsia="en-US"/>
    </w:rPr>
  </w:style>
  <w:style w:type="character" w:styleId="969" w:customStyle="1">
    <w:name w:val="Заголовок Знак"/>
    <w:basedOn w:val="936"/>
    <w:link w:val="966"/>
    <w:uiPriority w:val="99"/>
    <w:rPr>
      <w:rFonts w:ascii="Arial" w:hAnsi="Arial" w:cs="Times New Roman"/>
      <w:b/>
      <w:sz w:val="20"/>
      <w:szCs w:val="20"/>
    </w:rPr>
  </w:style>
  <w:style w:type="character" w:styleId="970">
    <w:name w:val="annotation reference"/>
    <w:basedOn w:val="936"/>
    <w:uiPriority w:val="99"/>
    <w:unhideWhenUsed/>
    <w:rPr>
      <w:rFonts w:cs="Times New Roman"/>
      <w:sz w:val="16"/>
    </w:rPr>
  </w:style>
  <w:style w:type="paragraph" w:styleId="971">
    <w:name w:val="annotation text"/>
    <w:basedOn w:val="934"/>
    <w:link w:val="972"/>
    <w:uiPriority w:val="99"/>
    <w:unhideWhenUsed/>
    <w:pPr>
      <w:spacing w:after="160" w:line="252" w:lineRule="auto"/>
    </w:pPr>
    <w:rPr>
      <w:rFonts w:ascii="Calibri" w:hAnsi="Calibri"/>
      <w:lang w:eastAsia="zh-CN"/>
    </w:rPr>
  </w:style>
  <w:style w:type="character" w:styleId="972" w:customStyle="1">
    <w:name w:val="Текст примечания Знак"/>
    <w:basedOn w:val="936"/>
    <w:link w:val="971"/>
    <w:uiPriority w:val="99"/>
    <w:rPr>
      <w:rFonts w:ascii="Calibri" w:hAnsi="Calibri" w:cs="Times New Roman"/>
      <w:sz w:val="20"/>
      <w:lang w:eastAsia="zh-CN"/>
    </w:rPr>
  </w:style>
  <w:style w:type="paragraph" w:styleId="973" w:customStyle="1">
    <w:name w:val="Текст ГК и ТЗ"/>
    <w:basedOn w:val="976"/>
    <w:link w:val="974"/>
    <w:qFormat/>
    <w:pPr>
      <w:ind w:firstLine="709"/>
      <w:jc w:val="both"/>
    </w:pPr>
    <w:rPr>
      <w:sz w:val="24"/>
      <w:szCs w:val="24"/>
    </w:rPr>
  </w:style>
  <w:style w:type="character" w:styleId="974" w:customStyle="1">
    <w:name w:val="Текст ГК и ТЗ Знак"/>
    <w:link w:val="973"/>
    <w:rPr>
      <w:rFonts w:eastAsia="Times New Roman"/>
      <w:sz w:val="24"/>
    </w:rPr>
  </w:style>
  <w:style w:type="table" w:styleId="975" w:customStyle="1">
    <w:name w:val="Сетка таблицы11"/>
    <w:basedOn w:val="937"/>
    <w:next w:val="977"/>
    <w:uiPriority w:val="99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6">
    <w:name w:val="No Spacing"/>
    <w:uiPriority w:val="1"/>
    <w:qFormat/>
    <w:pPr>
      <w:spacing w:after="0" w:line="240" w:lineRule="auto"/>
    </w:pPr>
    <w:rPr>
      <w:sz w:val="20"/>
      <w:szCs w:val="20"/>
    </w:rPr>
  </w:style>
  <w:style w:type="table" w:styleId="977">
    <w:name w:val="Table Grid"/>
    <w:basedOn w:val="93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8">
    <w:name w:val="annotation subject"/>
    <w:basedOn w:val="971"/>
    <w:next w:val="971"/>
    <w:link w:val="979"/>
    <w:uiPriority w:val="99"/>
    <w:pPr>
      <w:spacing w:after="0" w:line="240" w:lineRule="auto"/>
    </w:pPr>
    <w:rPr>
      <w:rFonts w:ascii="Times New Roman" w:hAnsi="Times New Roman"/>
      <w:b/>
      <w:bCs/>
      <w:lang w:eastAsia="ru-RU"/>
    </w:rPr>
  </w:style>
  <w:style w:type="character" w:styleId="979" w:customStyle="1">
    <w:name w:val="Тема примечания Знак"/>
    <w:basedOn w:val="972"/>
    <w:link w:val="978"/>
    <w:uiPriority w:val="99"/>
    <w:rPr>
      <w:rFonts w:ascii="Calibri" w:hAnsi="Calibri" w:cs="Times New Roman"/>
      <w:b/>
      <w:bCs/>
      <w:sz w:val="20"/>
      <w:szCs w:val="20"/>
      <w:lang w:eastAsia="zh-CN"/>
    </w:rPr>
  </w:style>
  <w:style w:type="character" w:styleId="980">
    <w:name w:val="Hyperlink"/>
    <w:basedOn w:val="936"/>
    <w:uiPriority w:val="99"/>
    <w:unhideWhenUsed/>
    <w:rPr>
      <w:rFonts w:cs="Times New Roman"/>
      <w:color w:val="0000ff"/>
      <w:u w:val="single"/>
    </w:rPr>
  </w:style>
  <w:style w:type="character" w:styleId="981" w:customStyle="1">
    <w:name w:val="Основной текст_"/>
    <w:link w:val="982"/>
    <w:rPr>
      <w:shd w:val="clear" w:color="auto" w:fill="ffffff"/>
    </w:rPr>
  </w:style>
  <w:style w:type="paragraph" w:styleId="982" w:customStyle="1">
    <w:name w:val="Основной текст4"/>
    <w:basedOn w:val="934"/>
    <w:link w:val="981"/>
    <w:pPr>
      <w:ind w:hanging="400"/>
      <w:jc w:val="both"/>
      <w:spacing w:before="240" w:after="240" w:line="240" w:lineRule="atLeast"/>
      <w:shd w:val="clear" w:color="auto" w:fill="ffffff"/>
      <w:widowControl w:val="off"/>
    </w:pPr>
    <w:rPr>
      <w:sz w:val="22"/>
      <w:szCs w:val="22"/>
    </w:rPr>
  </w:style>
  <w:style w:type="paragraph" w:styleId="983">
    <w:name w:val="List 2"/>
    <w:basedOn w:val="934"/>
    <w:pPr>
      <w:numPr>
        <w:ilvl w:val="1"/>
        <w:numId w:val="41"/>
      </w:numPr>
      <w:ind w:left="900"/>
      <w:jc w:val="both"/>
      <w:tabs>
        <w:tab w:val="num" w:pos="900" w:leader="none"/>
        <w:tab w:val="clear" w:pos="2809" w:leader="none"/>
      </w:tabs>
    </w:pPr>
    <w:rPr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E53714-19BB-4C45-ACA8-FD212A287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Р7-Офис/2025.2.1.801</Application>
  <Company>User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 порльзователем Техэксперт</dc:title>
  <dc:creator>Можаров</dc:creator>
  <cp:lastModifiedBy>plv009</cp:lastModifiedBy>
  <cp:revision>10</cp:revision>
  <dcterms:created xsi:type="dcterms:W3CDTF">2024-11-12T12:46:00Z</dcterms:created>
  <dcterms:modified xsi:type="dcterms:W3CDTF">2025-12-11T09:51:56Z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7bdeecb6-92aa-4876-9d24-520401f19b2f</vt:lpwstr>
  </property>
</Properties>
</file>