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8"/>
        <w:jc w:val="right"/>
      </w:pPr>
      <w:r>
        <w:rPr>
          <w:rFonts w:ascii="PT Astra Serif" w:hAnsi="PT Astra Serif" w:eastAsia="Calibri" w:cs="PT Astra Serif"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PT Astra Serif" w:hAnsi="PT Astra Serif" w:eastAsia="Calibri" w:cs="PT Astra Serif"/>
          <w:b/>
          <w:bCs/>
          <w:sz w:val="24"/>
          <w:szCs w:val="24"/>
          <w14:ligatures w14:val="none"/>
        </w:rPr>
      </w:pPr>
      <w:r>
        <w:rPr>
          <w:rFonts w:ascii="PT Astra Serif" w:hAnsi="PT Astra Serif" w:eastAsia="Calibri" w:cs="PT Astra Serif"/>
          <w:b/>
          <w:bCs/>
          <w:sz w:val="24"/>
          <w:szCs w:val="24"/>
        </w:rPr>
        <w:t xml:space="preserve">ПРИЛОЖЕНИЕ № 1. ОПИСАНИЕ ОБЪЕКТА ЗАКУПКИ</w:t>
      </w:r>
      <w:r>
        <w:rPr>
          <w:rFonts w:ascii="PT Astra Serif" w:hAnsi="PT Astra Serif" w:eastAsia="Calibri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Calibri"/>
        </w:rPr>
        <w:t xml:space="preserve">                                                    </w:t>
      </w:r>
      <w:r>
        <w:rPr>
          <w:rFonts w:ascii="PT Astra Serif" w:hAnsi="PT Astra Serif" w:eastAsia="Calibri" w:cs="PT Astra Serif"/>
          <w:b/>
          <w:bCs/>
          <w:sz w:val="24"/>
          <w:szCs w:val="24"/>
          <w14:ligatures w14:val="none"/>
        </w:rPr>
      </w:r>
      <w:r>
        <w:rPr>
          <w:rFonts w:ascii="PT Astra Serif" w:hAnsi="PT Astra Serif" w:eastAsia="Calibri" w:cs="PT Astra Serif"/>
          <w:b/>
          <w:bCs/>
          <w:sz w:val="24"/>
          <w:szCs w:val="24"/>
          <w14:ligatures w14:val="none"/>
        </w:rPr>
      </w:r>
    </w:p>
    <w:p>
      <w:pPr>
        <w:contextualSpacing/>
        <w:ind w:firstLine="567"/>
        <w:jc w:val="right"/>
        <w:spacing w:after="0" w:line="240" w:lineRule="auto"/>
        <w:tabs>
          <w:tab w:val="left" w:pos="851" w:leader="none"/>
        </w:tabs>
        <w:rPr>
          <w:rFonts w:ascii="PT Astra Serif" w:hAnsi="PT Astra Serif" w:cs="PT Astra Serif"/>
        </w:rPr>
      </w:pPr>
      <w:r>
        <w:rPr>
          <w:rFonts w:ascii="PT Astra Serif" w:hAnsi="PT Astra Serif" w:eastAsia="Calibri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center"/>
        <w:spacing w:after="0" w:line="240" w:lineRule="auto"/>
      </w:pPr>
      <w:r>
        <w:rPr>
          <w:rFonts w:ascii="PT Astra Serif" w:hAnsi="PT Astra Serif" w:eastAsia="Calibri" w:cs="PT Astra Serif"/>
          <w:b/>
          <w:sz w:val="24"/>
          <w:szCs w:val="24"/>
        </w:rPr>
      </w:r>
      <w:r>
        <w:rPr>
          <w:rFonts w:ascii="PT Astra Serif" w:hAnsi="PT Astra Serif" w:eastAsia="Calibri" w:cs="PT Astra Serif"/>
          <w:b/>
          <w:sz w:val="24"/>
          <w:szCs w:val="24"/>
        </w:rPr>
        <w:t xml:space="preserve">           ТЕХНИЧЕСКОЕ ЗАДАНИЕ</w:t>
      </w:r>
      <w:r>
        <w:rPr>
          <w:rFonts w:ascii="PT Astra Serif" w:hAnsi="PT Astra Serif" w:cs="PT Astra Serif"/>
          <w:bCs/>
          <w:sz w:val="24"/>
          <w:szCs w:val="24"/>
          <w:highlight w:val="none"/>
        </w:rPr>
      </w:r>
      <w:r/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Times New Roman" w:cs="PT Astra Serif"/>
          <w:b/>
          <w:sz w:val="24"/>
          <w:szCs w:val="24"/>
        </w:rPr>
        <w:t xml:space="preserve">на оказание услуг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по техническому обслуживанию систем автоматической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пожарной сигнализации, установленных в многоквартирных домах с низкой степенью огнестойкости</w:t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</w:p>
    <w:tbl>
      <w:tblPr>
        <w:tblStyle w:val="717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520"/>
        <w:gridCol w:w="3118"/>
        <w:gridCol w:w="2409"/>
        <w:gridCol w:w="2409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left"/>
              <w:spacing w:after="0" w:line="240" w:lineRule="auto"/>
              <w:shd w:val="clear" w:color="f2f2f2" w:themeColor="background1" w:themeShade="F2" w:fill="f2f2f2" w:themeFill="background1" w:themeFillShade="F2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W w:w="6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2f2f2" w:themeColor="background1" w:themeShade="F2" w:fill="f2f2f2" w:themeFill="background1" w:themeFillShade="F2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Наименование  услуги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2f2f2" w:themeColor="background1" w:themeShade="F2" w:fill="f2f2f2" w:themeFill="background1" w:themeFillShade="F2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Код ОКПД2/КТРУ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2f2f2" w:themeColor="background1" w:themeShade="F2" w:fill="f2f2f2" w:themeFill="background1" w:themeFillShade="F2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Единица измерения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2f2f2" w:themeColor="background1" w:themeShade="F2" w:fill="f2f2f2" w:themeFill="background1" w:themeFillShade="F2"/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Количество (объем услуги)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left"/>
              <w:spacing w:after="0" w:line="240" w:lineRule="auto"/>
              <w:shd w:val="clear" w:color="auto" w:fill="ffffff"/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W w:w="6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auto" w:fill="ffffff"/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i/>
                <w:iCs/>
                <w:sz w:val="24"/>
                <w:szCs w:val="24"/>
              </w:rPr>
              <w:t xml:space="preserve">Услуги по техническому обслуживанию систем автоматической пожарной сигнализации, установленных в многоквартирных домах с низкой степенью огнестойкости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auto" w:fill="ffffff"/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80.20.10.000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auto" w:fill="ffffff"/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месяц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auto" w:fill="ffffff"/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b w:val="0"/>
                <w:bCs w:val="0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19"/>
        <w:gridCol w:w="7938"/>
      </w:tblGrid>
      <w:tr>
        <w:tblPrEx/>
        <w:trPr/>
        <w:tc>
          <w:tcPr>
            <w:gridSpan w:val="3"/>
            <w:shd w:val="clear" w:color="ffffff" w:fill="ffffff"/>
            <w:tcW w:w="151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shd w:val="clear" w:color="f2f2f2" w:themeColor="background1" w:themeShade="F2" w:fill="f2f2f2" w:themeFill="background1" w:themeFillShade="F2"/>
              <w:rPr>
                <w:rFonts w:ascii="PT Astra Serif" w:hAnsi="PT Astra Serif" w:eastAsia="PT Astra Serif" w:cs="PT Astra Serif"/>
                <w:b/>
                <w:bCs/>
                <w:highlight w:val="none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  <w:t xml:space="preserve">Характеристики услуги</w:t>
            </w:r>
            <w:r>
              <w:rPr>
                <w:rFonts w:ascii="PT Astra Serif" w:hAnsi="PT Astra Serif" w:eastAsia="PT Astra Serif" w:cs="PT Astra Serif"/>
                <w:b/>
                <w:bCs/>
                <w:highlight w:val="none"/>
              </w:rPr>
            </w:r>
            <w:r>
              <w:rPr>
                <w:rFonts w:ascii="PT Astra Serif" w:hAnsi="PT Astra Serif" w:eastAsia="PT Astra Serif" w:cs="PT Astra Serif"/>
                <w:b/>
                <w:bCs/>
                <w:highlight w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/>
              <w:shd w:val="clear" w:color="f2f2f2" w:themeColor="background1" w:themeShade="F2" w:fill="f2f2f2" w:themeFill="background1" w:themeFillShade="F2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  <w:tc>
          <w:tcPr>
            <w:shd w:val="clear" w:color="ffffff" w:fill="ffffff"/>
            <w:tcW w:w="6519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/>
              <w:shd w:val="clear" w:color="f2f2f2" w:themeColor="background1" w:themeShade="F2" w:fill="f2f2f2" w:themeFill="background1" w:themeFillShade="F2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Наименование характеристики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  <w:tc>
          <w:tcPr>
            <w:shd w:val="clear" w:color="ffffff" w:fill="ffffff"/>
            <w:tcW w:w="7938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/>
              <w:shd w:val="clear" w:color="f2f2f2" w:themeColor="background1" w:themeShade="F2" w:fill="f2f2f2" w:themeFill="background1" w:themeFillShade="F2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Значение характеристики 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6519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Требования к оказанию услуг и периодичность оказания услуг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7938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  <w14:ligatures w14:val="none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В соответствии с приложением № 1 к настоящему Техническому заданию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6519" w:type="dxa"/>
            <w:vMerge w:val="restart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Общие требования к составу услуг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7938" w:type="dxa"/>
            <w:vMerge w:val="restart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  <w14:ligatures w14:val="none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В соответствии с приложением № 2 к настоящему Техническому заданию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14:ligatures w14:val="none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6519" w:type="dxa"/>
            <w:vMerge w:val="restart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Адресный перечень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7938" w:type="dxa"/>
            <w:vMerge w:val="restart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  <w14:ligatures w14:val="none"/>
              </w:rPr>
            </w:pPr>
            <w:r>
              <w:rPr>
                <w:rFonts w:ascii="PT Astra Serif" w:hAnsi="PT Astra Serif" w:cs="PT Astra Serif"/>
              </w:rPr>
              <w:t xml:space="preserve">В соответствии с приложением № 3 к настоящему Техническому заданию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14:ligatures w14:val="none"/>
              </w:rPr>
            </w:r>
          </w:p>
        </w:tc>
      </w:tr>
    </w:tbl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pStyle w:val="868"/>
        <w:jc w:val="right"/>
        <w:rPr>
          <w:highlight w:val="white"/>
        </w:rPr>
      </w:pPr>
      <w:r>
        <w:rPr>
          <w:rFonts w:ascii="PT Astra Serif" w:hAnsi="PT Astra Serif" w:eastAsia="Calibri" w:cs="PT Astra Serif"/>
          <w:sz w:val="24"/>
          <w:szCs w:val="24"/>
          <w:highlight w:val="white"/>
        </w:rPr>
        <w:t xml:space="preserve">Приложение №1</w:t>
      </w:r>
      <w:r>
        <w:rPr>
          <w:highlight w:val="white"/>
        </w:rPr>
      </w:r>
      <w:r>
        <w:rPr>
          <w:highlight w:val="white"/>
        </w:rPr>
      </w:r>
    </w:p>
    <w:p>
      <w:pPr>
        <w:pStyle w:val="868"/>
        <w:jc w:val="right"/>
        <w:rPr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к техническому заданию на оказание услуг </w:t>
      </w:r>
      <w:r>
        <w:rPr>
          <w:highlight w:val="white"/>
        </w:rPr>
      </w:r>
      <w:r>
        <w:rPr>
          <w:highlight w:val="white"/>
        </w:rPr>
      </w:r>
    </w:p>
    <w:p>
      <w:pPr>
        <w:pStyle w:val="868"/>
        <w:jc w:val="right"/>
        <w:rPr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                                                           по техническому обслуживанию систем автоматической пожарной</w:t>
      </w:r>
      <w:r>
        <w:rPr>
          <w:highlight w:val="white"/>
        </w:rPr>
      </w:r>
      <w:r>
        <w:rPr>
          <w:highlight w:val="white"/>
        </w:rPr>
      </w:r>
    </w:p>
    <w:p>
      <w:pPr>
        <w:contextualSpacing/>
        <w:ind w:firstLine="567"/>
        <w:jc w:val="right"/>
        <w:spacing w:after="0" w:line="240" w:lineRule="auto"/>
        <w:tabs>
          <w:tab w:val="left" w:pos="851" w:leader="none"/>
        </w:tabs>
        <w:rPr>
          <w:rFonts w:ascii="PT Astra Serif" w:hAnsi="PT Astra Serif" w:eastAsia="Calibri" w:cs="PT Astra Serif"/>
          <w:sz w:val="24"/>
          <w:szCs w:val="24"/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сигнализации, установленных в многоквартирных домах с низкой степенью огнестойкости</w:t>
      </w:r>
      <w:r>
        <w:rPr>
          <w:rFonts w:ascii="PT Astra Serif" w:hAnsi="PT Astra Serif" w:eastAsia="Calibri" w:cs="PT Astra Serif"/>
          <w:sz w:val="24"/>
          <w:szCs w:val="24"/>
          <w:highlight w:val="white"/>
        </w:rPr>
      </w:r>
      <w:r>
        <w:rPr>
          <w:rFonts w:ascii="PT Astra Serif" w:hAnsi="PT Astra Serif" w:eastAsia="Calibri" w:cs="PT Astra Serif"/>
          <w:sz w:val="24"/>
          <w:szCs w:val="24"/>
          <w:highlight w:val="white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u w:val="singl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u w:val="singl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u w:val="single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  <w:t xml:space="preserve">Требования к оказанию услуг и периодичность оказания услуг</w:t>
      </w:r>
      <w:r>
        <w:rPr>
          <w:rFonts w:ascii="PT Astra Serif" w:hAnsi="PT Astra Serif" w:eastAsia="PT Astra Serif" w:cs="PT Astra Serif"/>
          <w:b/>
          <w:bCs/>
          <w:sz w:val="24"/>
          <w:szCs w:val="24"/>
          <w:u w:val="singl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u w:val="single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pP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  <w:r>
        <w:rPr>
          <w:rFonts w:ascii="PT Astra Serif" w:hAnsi="PT Astra Serif" w:eastAsia="PT Astra Serif" w:cs="PT Astra Serif"/>
          <w:b w:val="0"/>
          <w:bCs w:val="0"/>
          <w:sz w:val="24"/>
          <w:szCs w:val="24"/>
        </w:rPr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205"/>
        <w:gridCol w:w="4252"/>
      </w:tblGrid>
      <w:tr>
        <w:tblPrEx/>
        <w:trPr/>
        <w:tc>
          <w:tcPr>
            <w:shd w:val="clear" w:color="ffffff" w:fill="ffffff"/>
            <w:tcW w:w="709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/>
              <w:shd w:val="clear" w:color="f2f2f2" w:themeColor="background1" w:themeShade="F2" w:fill="f2f2f2" w:themeFill="background1" w:themeFillShade="F2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  <w:tc>
          <w:tcPr>
            <w:shd w:val="clear" w:color="ffffff" w:fill="ffffff"/>
            <w:tcW w:w="10205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/>
              <w:shd w:val="clear" w:color="f2f2f2" w:themeColor="background1" w:themeShade="F2" w:fill="f2f2f2" w:themeFill="background1" w:themeFillShade="F2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Наименование услуг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  <w:tc>
          <w:tcPr>
            <w:shd w:val="clear" w:color="ffffff" w:fill="ffffff"/>
            <w:tcW w:w="4252" w:type="dxa"/>
            <w:vAlign w:val="center"/>
            <w:textDirection w:val="lrTb"/>
            <w:noWrap w:val="false"/>
          </w:tcPr>
          <w:p>
            <w:pPr>
              <w:jc w:val="center"/>
              <w:spacing w:after="0" w:afterAutospacing="0"/>
              <w:shd w:val="clear" w:color="f2f2f2" w:themeColor="background1" w:themeShade="F2" w:fill="f2f2f2" w:themeFill="background1" w:themeFillShade="F2"/>
              <w:rPr>
                <w:rFonts w:ascii="PT Astra Serif" w:hAnsi="PT Astra Serif" w:cs="PT Astra Serif"/>
                <w:b/>
                <w:bCs/>
              </w:rPr>
            </w:pP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Периодичность</w:t>
            </w:r>
            <w:r>
              <w:rPr>
                <w:rFonts w:ascii="PT Astra Serif" w:hAnsi="PT Astra Serif" w:cs="PT Astra Serif"/>
                <w:b/>
                <w:bCs/>
              </w:rPr>
            </w:r>
            <w:r>
              <w:rPr>
                <w:rFonts w:ascii="PT Astra Serif" w:hAnsi="PT Astra Serif" w:cs="PT Astra Serif"/>
                <w:b/>
                <w:bCs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Внешний осмотр частей систем АПС (приемно-контрольного прибора, извещателей, оповещателей, шлейфов сигнализации и др.) на отсутствие механических повреждений, коррозии, грязи, прочность креплений и т.п.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Контроль рабочего положения выключателей и переключателей, исправности световой индикации, наличие пломб на приемно-контрольных приборах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Контроль основного и резервного источников питания, с рабочего ввода на резервный и обратно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1.4.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ind w:left="0" w:firstLine="0"/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Проверка работоспособности составных частей систем АПС (приемно-контрольные приборы, извещатели, оповещатели, измерение параметров)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1.5.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Профилактические услуги (проверка внутренних поверхностей, очистка, смазка, подпайка)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1.6.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Проверка работоспособности установки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1.7.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Ремонт и аварийно-восстановительные мероприятия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обнаружении; по заявке Заказчика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1.8.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Услуги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по демонтажу систем автоматической пожарной сигнализации с последующей передачей демонтированного оборудования Заказчику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заявке Заказчика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3"/>
            <w:shd w:val="clear" w:color="ffffff" w:fill="ffffff"/>
            <w:tcW w:w="1516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 xml:space="preserve">2. Техническое обслуживание приемно-передаточного устройства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Проверка целостности соединения линий системы АПС и системы передачи тревожных сообщений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Принудительный запуск системы АПС от пожарных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извещателей для проверки прохождения сигнала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Проверка и тестирование уровня прохождения сигнала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2.4.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Проверка разъемов соединения антенны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2.5.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Проверка и контроль разъемов и шлейфов системы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2.6.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Отправка тестовых сигналов на диспетчерскую службу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2.7.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Контроль попыток несанкционированного вмешательства на работу системы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Круглосуточно (дистанционно)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2.8.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Планово-предупредительный ремонт блоков системы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gridSpan w:val="3"/>
            <w:shd w:val="clear" w:color="ffffff" w:fill="ffffff"/>
            <w:tcW w:w="1516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 xml:space="preserve">3. Техническое обслуживание тревожной кнопки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Шлейф сигнализации. Проверка технического состояния: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внешний осмотр соединительных линий, разветвительных коробок, контрольных розеток и гибких переходов;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целостности экранирования провода, отсутствие перемычек (закороток), вставка другого типа провода;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удаление пыли, грязи, перемычек, скруток, провесов проводов: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наличия крышек на коробках и розетках, пломб или печатей на них, правильности и качества соединения проводов;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наличие технологического запаса проводов;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надежности крепления проводов и кабелей; 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соответствия типа (номинала) выносного элемента.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Проверка работоспособности: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 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режима «короткое замыкание»;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  <w:b/>
                <w:bCs/>
                <w:i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режима «обрыв».</w:t>
            </w:r>
            <w:r>
              <w:rPr>
                <w:rFonts w:ascii="PT Astra Serif" w:hAnsi="PT Astra Serif" w:cs="PT Astra Serif"/>
                <w:b/>
                <w:bCs/>
                <w:i/>
              </w:rPr>
            </w:r>
            <w:r>
              <w:rPr>
                <w:rFonts w:ascii="PT Astra Serif" w:hAnsi="PT Astra Serif" w:cs="PT Astra Serif"/>
                <w:b/>
                <w:bCs/>
                <w:i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квартал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Проверка электрических параметров: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величины сопротивления утечки и изоляции проводов;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  <w:b/>
                <w:bCs/>
                <w:i/>
                <w:u w:val="singl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величины сопротивления шлейфов без учета выносного элемента. </w:t>
            </w:r>
            <w:r>
              <w:rPr>
                <w:rFonts w:ascii="PT Astra Serif" w:hAnsi="PT Astra Serif" w:cs="PT Astra Serif"/>
                <w:b/>
                <w:bCs/>
                <w:i/>
                <w:u w:val="single"/>
              </w:rPr>
            </w:r>
            <w:r>
              <w:rPr>
                <w:rFonts w:ascii="PT Astra Serif" w:hAnsi="PT Astra Serif" w:cs="PT Astra Serif"/>
                <w:b/>
                <w:bCs/>
                <w:i/>
                <w:u w:val="single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квартал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3.4.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Извещатели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. 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Внешний осмотр: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 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надежности крепления извещателей (блока извещателя);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чистка корпуса извещателя (блока извещателя) от пыли, грязи, влаги, устранение механических повреждений корпуса;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наличия крышек на клеммных колодках, колодках, пломб или печатей на них;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технического состояния источника питания (элементы питания радиовещателей);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надежности крепления проводов на клеммных колодках.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3.5.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Измерение электрических параметров: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 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сопротивления изоляции блокированного предмета по отношению к земле (для емкостных извещателей).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3.6.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Приемно-контрольные приборы.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  <w:rPr>
                <w:u w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u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  <w:u w:val="none"/>
              </w:rPr>
              <w:t xml:space="preserve">Внешний осмотр:</w:t>
            </w:r>
            <w:r>
              <w:rPr>
                <w:rFonts w:ascii="PT Astra Serif" w:hAnsi="PT Astra Serif" w:cs="PT Astra Serif"/>
                <w:sz w:val="24"/>
                <w:szCs w:val="24"/>
                <w:u w:val="none"/>
              </w:rPr>
              <w:t xml:space="preserve"> </w:t>
            </w:r>
            <w:r>
              <w:rPr>
                <w:u w:val="none"/>
              </w:rPr>
            </w:r>
            <w:r>
              <w:rPr>
                <w:u w:val="none"/>
              </w:rPr>
            </w:r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надежности крепления прибора;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чистка корпуса от пыли, грязи, устранения механических повреждений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корпуса;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технического состояния источника питания резервного);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исправности органов управления;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исправности элементов индикации;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соответствия номинала и исправности предохранителя;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наличия крышек на клеммных колодках, пломб или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печатей на них и на корпусе прибора;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надежности крепления проводов на клеммных колодках и разъемах.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3.7.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Проверка работоспособности прибора при питании от сети переменного тока и резервного источника питания: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 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«Дежурного режима, а также режима «Внимание»;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режима «Тревоги» при коротком замыкании и обрыве шлейфа;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длительности времени задержки на вход и /или выход при их наличии;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длительности работы звукового и светового оповещения;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запоминание прохождения сигнала «Тревога» на приемную аппаратуру;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  <w:b/>
                <w:bCs/>
                <w:i/>
                <w:u w:val="singl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сохранения работоспособности прибора при переходе на резервное питание и обратно. </w:t>
            </w:r>
            <w:r>
              <w:rPr>
                <w:rFonts w:ascii="PT Astra Serif" w:hAnsi="PT Astra Serif" w:cs="PT Astra Serif"/>
                <w:b/>
                <w:bCs/>
                <w:i/>
                <w:u w:val="single"/>
              </w:rPr>
            </w:r>
            <w:r>
              <w:rPr>
                <w:rFonts w:ascii="PT Astra Serif" w:hAnsi="PT Astra Serif" w:cs="PT Astra Serif"/>
                <w:b/>
                <w:bCs/>
                <w:i/>
                <w:u w:val="single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3.8.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Измерение электрических параметров прибора: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 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тока потребляемого при питании от резервного источника питания.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3.9.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Контроль правильности программирования режимов работы. 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u w:val="none"/>
              </w:rPr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u w:val="none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3.10.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strike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trike w:val="0"/>
                <w:sz w:val="24"/>
                <w:szCs w:val="24"/>
                <w:u w:val="none"/>
              </w:rPr>
              <w:t xml:space="preserve">Источники постоянного тока, резервные источники питания.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trike w:val="0"/>
                <w:sz w:val="24"/>
                <w:szCs w:val="24"/>
                <w:u w:val="none"/>
              </w:rPr>
              <w:t xml:space="preserve"> </w:t>
            </w:r>
            <w:r>
              <w:rPr>
                <w:b w:val="0"/>
                <w:bCs w:val="0"/>
                <w:i w:val="0"/>
                <w:strike w:val="0"/>
                <w:u w:val="none"/>
              </w:rPr>
            </w:r>
            <w:r>
              <w:rPr>
                <w:b w:val="0"/>
                <w:bCs w:val="0"/>
                <w:i w:val="0"/>
                <w:strike w:val="0"/>
                <w:u w:val="none"/>
              </w:rPr>
            </w:r>
          </w:p>
          <w:p>
            <w:pPr>
              <w:spacing w:after="0" w:afterAutospacing="0"/>
              <w:rPr>
                <w:u w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  <w:u w:val="none"/>
              </w:rPr>
              <w:t xml:space="preserve">Внешний осмотр:</w:t>
            </w:r>
            <w:r>
              <w:rPr>
                <w:rFonts w:ascii="PT Astra Serif" w:hAnsi="PT Astra Serif" w:cs="PT Astra Serif"/>
                <w:sz w:val="24"/>
                <w:szCs w:val="24"/>
                <w:u w:val="none"/>
              </w:rPr>
              <w:t xml:space="preserve"> </w:t>
            </w:r>
            <w:r>
              <w:rPr>
                <w:u w:val="none"/>
              </w:rPr>
            </w:r>
            <w:r>
              <w:rPr>
                <w:u w:val="none"/>
              </w:rPr>
            </w:r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надежности крепления источника питания;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чистка поверхности источника питания от пыли, грязи, влаги, устранение механических повреждений корпуса;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исправности органов управления;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соответствия номинала и исправности предохранителя;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наличия крышек на клеммных колодках, пломб или печатей на них и на корпусе источника;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надежности крепления проводов на клеммных колодках и разъемах.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3.11.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Проверка условий эксплуатации аккумуляторных батарей: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контроль выполнения требований по размещению; 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spacing w:after="0" w:afterAutospacing="0"/>
              <w:rPr>
                <w:rFonts w:ascii="PT Astra Serif" w:hAnsi="PT Astra Serif" w:cs="PT Astra Serif"/>
                <w:b/>
                <w:bCs/>
                <w:i/>
                <w:u w:val="singl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проверка чистоты вентиляционных решеток и очистка их при необходимости. </w:t>
            </w:r>
            <w:r>
              <w:rPr>
                <w:rFonts w:ascii="PT Astra Serif" w:hAnsi="PT Astra Serif" w:cs="PT Astra Serif"/>
                <w:b/>
                <w:bCs/>
                <w:i/>
                <w:u w:val="single"/>
              </w:rPr>
            </w:r>
            <w:r>
              <w:rPr>
                <w:rFonts w:ascii="PT Astra Serif" w:hAnsi="PT Astra Serif" w:cs="PT Astra Serif"/>
                <w:b/>
                <w:bCs/>
                <w:i/>
                <w:u w:val="single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месяц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3.12.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b w:val="0"/>
                <w:bCs w:val="0"/>
                <w:i w:val="0"/>
                <w:u w:val="none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Измерение электрических параметров источника питани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я:</w:t>
            </w:r>
            <w:r>
              <w:rPr>
                <w:b w:val="0"/>
                <w:bCs w:val="0"/>
                <w:i w:val="0"/>
                <w:u w:val="none"/>
              </w:rPr>
            </w:r>
            <w:r>
              <w:rPr>
                <w:b w:val="0"/>
                <w:bCs w:val="0"/>
                <w:i w:val="0"/>
                <w:u w:val="none"/>
              </w:rPr>
            </w:r>
          </w:p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- величина выходного напряжения.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квартал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  <w:tr>
        <w:tblPrEx/>
        <w:trPr/>
        <w:tc>
          <w:tcPr>
            <w:shd w:val="clear" w:color="ffffff" w:fill="ffffff"/>
            <w:tcW w:w="709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3.13.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10205" w:type="dxa"/>
            <w:textDirection w:val="lrTb"/>
            <w:noWrap w:val="false"/>
          </w:tcPr>
          <w:p>
            <w:pPr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Проверка сохранения работоспособности источника питания при переходе на резервное питание и обратно.</w:t>
            </w:r>
            <w:r>
              <w:rPr>
                <w:rFonts w:ascii="PT Astra Serif" w:hAnsi="PT Astra Serif" w:cs="PT Astra Serif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 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  <w:tc>
          <w:tcPr>
            <w:shd w:val="clear" w:color="ffffff" w:fill="ffffff"/>
            <w:tcW w:w="425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раз в квартал</w:t>
            </w: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</w:r>
          </w:p>
        </w:tc>
      </w:tr>
    </w:tbl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</w:p>
    <w:p>
      <w:pPr>
        <w:pStyle w:val="868"/>
        <w:jc w:val="right"/>
        <w:rPr>
          <w:highlight w:val="white"/>
        </w:rPr>
      </w:pPr>
      <w:r>
        <w:rPr>
          <w:rFonts w:ascii="PT Astra Serif" w:hAnsi="PT Astra Serif" w:eastAsia="Calibri" w:cs="PT Astra Serif"/>
          <w:sz w:val="24"/>
          <w:szCs w:val="24"/>
          <w:highlight w:val="white"/>
        </w:rPr>
        <w:t xml:space="preserve">Приложение №2</w:t>
      </w:r>
      <w:r>
        <w:rPr>
          <w:highlight w:val="white"/>
        </w:rPr>
      </w:r>
      <w:r>
        <w:rPr>
          <w:highlight w:val="white"/>
        </w:rPr>
      </w:r>
    </w:p>
    <w:p>
      <w:pPr>
        <w:pStyle w:val="868"/>
        <w:jc w:val="right"/>
        <w:rPr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к техническому заданию на оказание услуг </w:t>
      </w:r>
      <w:r>
        <w:rPr>
          <w:highlight w:val="white"/>
        </w:rPr>
      </w:r>
      <w:r>
        <w:rPr>
          <w:highlight w:val="white"/>
        </w:rPr>
      </w:r>
    </w:p>
    <w:p>
      <w:pPr>
        <w:pStyle w:val="868"/>
        <w:jc w:val="right"/>
        <w:rPr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                                                           по техническому обслуживанию систем автоматической пожарной</w:t>
      </w:r>
      <w:r>
        <w:rPr>
          <w:highlight w:val="white"/>
        </w:rPr>
      </w:r>
      <w:r>
        <w:rPr>
          <w:highlight w:val="white"/>
        </w:rPr>
      </w:r>
    </w:p>
    <w:p>
      <w:pPr>
        <w:contextualSpacing/>
        <w:ind w:firstLine="567"/>
        <w:jc w:val="right"/>
        <w:spacing w:after="0" w:line="240" w:lineRule="auto"/>
        <w:tabs>
          <w:tab w:val="left" w:pos="851" w:leader="none"/>
        </w:tabs>
        <w:rPr>
          <w:rFonts w:ascii="PT Astra Serif" w:hAnsi="PT Astra Serif" w:eastAsia="Calibri" w:cs="PT Astra Serif"/>
          <w:sz w:val="24"/>
          <w:szCs w:val="24"/>
          <w:highlight w:val="white"/>
        </w:rPr>
      </w:pPr>
      <w:r>
        <w:rPr>
          <w:rFonts w:ascii="PT Astra Serif" w:hAnsi="PT Astra Serif" w:eastAsia="Calibri"/>
          <w:highlight w:val="white"/>
        </w:rPr>
        <w:t xml:space="preserve">сигнализации, установленных в многоквартирных домах с низкой степенью огнестойкости</w:t>
      </w:r>
      <w:r>
        <w:rPr>
          <w:rFonts w:ascii="PT Astra Serif" w:hAnsi="PT Astra Serif" w:eastAsia="Calibri" w:cs="PT Astra Serif"/>
          <w:sz w:val="24"/>
          <w:szCs w:val="24"/>
          <w:highlight w:val="white"/>
        </w:rPr>
      </w:r>
      <w:r>
        <w:rPr>
          <w:rFonts w:ascii="PT Astra Serif" w:hAnsi="PT Astra Serif" w:eastAsia="Calibri" w:cs="PT Astra Serif"/>
          <w:sz w:val="24"/>
          <w:szCs w:val="24"/>
          <w:highlight w:val="white"/>
        </w:rPr>
      </w:r>
    </w:p>
    <w:p>
      <w:pPr>
        <w:jc w:val="center"/>
        <w:spacing w:after="0" w:line="240" w:lineRule="auto"/>
        <w:shd w:val="clear" w:color="auto" w:fill="ffffff"/>
        <w:rPr>
          <w:rFonts w:ascii="PT Astra Serif" w:hAnsi="PT Astra Serif" w:eastAsia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eastAsia="Times New Roman" w:cs="Times New Roman"/>
          <w:b/>
          <w:bCs/>
          <w:sz w:val="28"/>
          <w:szCs w:val="28"/>
        </w:rPr>
      </w:pPr>
      <w:r>
        <w:rPr>
          <w:rFonts w:ascii="PT Astra Serif" w:hAnsi="PT Astra Serif" w:eastAsia="Calibri" w:cs="Times New Roman"/>
          <w:b/>
          <w:sz w:val="28"/>
          <w:szCs w:val="28"/>
          <w:highlight w:val="none"/>
        </w:rPr>
      </w:r>
      <w:r>
        <w:rPr>
          <w:rFonts w:ascii="PT Astra Serif" w:hAnsi="PT Astra Serif" w:eastAsia="Times New Roman" w:cs="Times New Roman"/>
          <w:b/>
          <w:bCs/>
          <w:sz w:val="28"/>
          <w:szCs w:val="28"/>
        </w:rPr>
      </w:r>
      <w:r>
        <w:rPr>
          <w:rFonts w:ascii="PT Astra Serif" w:hAnsi="PT Astra Serif" w:eastAsia="Times New Roman" w:cs="Times New Roman"/>
          <w:b/>
          <w:bCs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eastAsia="Calibri" w:cs="Times New Roman"/>
          <w:b/>
          <w:bCs/>
          <w:sz w:val="24"/>
          <w:szCs w:val="24"/>
          <w:highlight w:val="none"/>
          <w:u w:val="single"/>
        </w:rPr>
      </w:pPr>
      <w:r>
        <w:rPr>
          <w:rFonts w:ascii="PT Astra Serif" w:hAnsi="PT Astra Serif" w:eastAsia="Calibri" w:cs="Times New Roman"/>
          <w:b/>
          <w:bCs/>
          <w:sz w:val="24"/>
          <w:szCs w:val="24"/>
          <w:u w:val="single"/>
        </w:rPr>
        <w:t xml:space="preserve">Общие требования к оказываемым услугам </w:t>
      </w:r>
      <w:r>
        <w:rPr>
          <w:rFonts w:ascii="PT Astra Serif" w:hAnsi="PT Astra Serif" w:eastAsia="Calibri" w:cs="Times New Roman"/>
          <w:b/>
          <w:bCs/>
          <w:sz w:val="24"/>
          <w:szCs w:val="24"/>
          <w:highlight w:val="none"/>
          <w:u w:val="single"/>
        </w:rPr>
      </w:r>
      <w:r>
        <w:rPr>
          <w:rFonts w:ascii="PT Astra Serif" w:hAnsi="PT Astra Serif" w:eastAsia="Calibri" w:cs="Times New Roman"/>
          <w:b/>
          <w:bCs/>
          <w:sz w:val="24"/>
          <w:szCs w:val="24"/>
          <w:highlight w:val="none"/>
          <w:u w:val="single"/>
        </w:rPr>
      </w:r>
    </w:p>
    <w:p>
      <w:pPr>
        <w:jc w:val="center"/>
        <w:spacing w:after="0" w:line="240" w:lineRule="auto"/>
        <w:rPr>
          <w:rFonts w:ascii="PT Astra Serif" w:hAnsi="PT Astra Serif" w:eastAsia="Calibri" w:cs="Times New Roman"/>
          <w:b/>
          <w:bCs/>
          <w:sz w:val="24"/>
          <w:szCs w:val="24"/>
          <w:highlight w:val="none"/>
          <w14:ligatures w14:val="none"/>
        </w:rPr>
      </w:pPr>
      <w:r>
        <w:rPr>
          <w:rFonts w:ascii="PT Astra Serif" w:hAnsi="PT Astra Serif" w:eastAsia="Calibri" w:cs="Times New Roman"/>
          <w:b/>
          <w:bCs/>
          <w:sz w:val="24"/>
          <w:szCs w:val="24"/>
          <w:u w:val="single"/>
        </w:rPr>
        <w:t xml:space="preserve"> п</w:t>
      </w:r>
      <w:r>
        <w:rPr>
          <w:rFonts w:ascii="PT Astra Serif" w:hAnsi="PT Astra Serif" w:eastAsia="Calibri" w:cs="Times New Roman"/>
          <w:b/>
          <w:bCs/>
          <w:sz w:val="24"/>
          <w:szCs w:val="24"/>
          <w:u w:val="single"/>
        </w:rPr>
        <w:t xml:space="preserve">о техническому обслуживанию систем автоматической пожарной </w:t>
      </w:r>
      <w:r>
        <w:rPr>
          <w:rFonts w:ascii="PT Astra Serif" w:hAnsi="PT Astra Serif" w:eastAsia="Calibri" w:cs="Times New Roman"/>
          <w:b/>
          <w:bCs/>
          <w:sz w:val="24"/>
          <w:szCs w:val="24"/>
          <w:u w:val="single"/>
        </w:rPr>
        <w:t xml:space="preserve">сигнализации, установленных в многоквартирных домах с низкой степенью огнестойко</w:t>
      </w:r>
      <w:r>
        <w:rPr>
          <w:rFonts w:ascii="PT Astra Serif" w:hAnsi="PT Astra Serif" w:eastAsia="Calibri" w:cs="Times New Roman"/>
          <w:b/>
          <w:bCs/>
          <w:sz w:val="24"/>
          <w:szCs w:val="24"/>
        </w:rPr>
        <w:t xml:space="preserve">сти</w:t>
      </w:r>
      <w:r>
        <w:rPr>
          <w:rFonts w:ascii="PT Astra Serif" w:hAnsi="PT Astra Serif" w:eastAsia="Calibri" w:cs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Calibri" w:cs="Times New Roman"/>
          <w:b/>
          <w:bCs/>
          <w:sz w:val="24"/>
          <w:szCs w:val="24"/>
          <w:highlight w:val="none"/>
          <w14:ligatures w14:val="none"/>
        </w:rPr>
      </w:r>
      <w:r>
        <w:rPr>
          <w:rFonts w:ascii="PT Astra Serif" w:hAnsi="PT Astra Serif" w:eastAsia="Calibri" w:cs="Times New Roman"/>
          <w:b/>
          <w:bCs/>
          <w:sz w:val="24"/>
          <w:szCs w:val="24"/>
          <w:highlight w:val="none"/>
          <w14:ligatures w14:val="none"/>
        </w:rPr>
      </w:r>
    </w:p>
    <w:p>
      <w:pPr>
        <w:jc w:val="center"/>
        <w:spacing w:after="0" w:line="240" w:lineRule="auto"/>
        <w:rPr>
          <w:rFonts w:ascii="PT Astra Serif" w:hAnsi="PT Astra Serif" w:eastAsia="Calibri" w:cs="Times New Roman"/>
          <w:b/>
          <w:bCs/>
          <w:sz w:val="24"/>
          <w:szCs w:val="24"/>
          <w14:ligatures w14:val="none"/>
        </w:rPr>
      </w:pPr>
      <w:r>
        <w:rPr>
          <w:rFonts w:ascii="PT Astra Serif" w:hAnsi="PT Astra Serif" w:eastAsia="Calibri" w:cs="Times New Roman"/>
          <w:b/>
          <w:bCs/>
          <w:sz w:val="24"/>
          <w:szCs w:val="24"/>
          <w:highlight w:val="none"/>
        </w:rPr>
      </w:r>
      <w:r>
        <w:rPr>
          <w:rFonts w:ascii="PT Astra Serif" w:hAnsi="PT Astra Serif" w:eastAsia="Calibri" w:cs="Times New Roman"/>
          <w:b/>
          <w:bCs/>
          <w:sz w:val="24"/>
          <w:szCs w:val="24"/>
          <w14:ligatures w14:val="none"/>
        </w:rPr>
      </w:r>
      <w:r>
        <w:rPr>
          <w:rFonts w:ascii="PT Astra Serif" w:hAnsi="PT Astra Serif" w:eastAsia="Calibri" w:cs="Times New Roman"/>
          <w:b/>
          <w:bCs/>
          <w:sz w:val="24"/>
          <w:szCs w:val="24"/>
          <w14:ligatures w14:val="none"/>
        </w:rPr>
      </w:r>
    </w:p>
    <w:tbl>
      <w:tblPr>
        <w:tblW w:w="15307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0772"/>
        <w:gridCol w:w="1134"/>
        <w:gridCol w:w="992"/>
      </w:tblGrid>
      <w:tr>
        <w:tblPrEx/>
        <w:trPr>
          <w:trHeight w:val="558"/>
        </w:trPr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/>
                <w:bCs/>
              </w:rPr>
            </w:pPr>
            <w:r>
              <w:rPr>
                <w:rFonts w:ascii="PT Astra Serif" w:hAnsi="PT Astra Serif" w:eastAsia="Calibri" w:cs="Times New Roman"/>
                <w:b/>
                <w:bCs/>
              </w:rPr>
              <w:t xml:space="preserve">№ п/п</w:t>
            </w:r>
            <w:r>
              <w:rPr>
                <w:rFonts w:ascii="PT Astra Serif" w:hAnsi="PT Astra Serif" w:eastAsia="Calibri"/>
                <w:b/>
                <w:bCs/>
              </w:rPr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/>
                <w:bCs/>
              </w:rPr>
            </w:pPr>
            <w:r>
              <w:rPr>
                <w:rFonts w:ascii="PT Astra Serif" w:hAnsi="PT Astra Serif" w:eastAsia="Calibri" w:cs="Times New Roman"/>
                <w:b/>
                <w:bCs/>
              </w:rPr>
              <w:t xml:space="preserve">Наименование услуги</w:t>
            </w:r>
            <w:r>
              <w:rPr>
                <w:rFonts w:ascii="PT Astra Serif" w:hAnsi="PT Astra Serif" w:eastAsia="Calibri"/>
                <w:b/>
                <w:bCs/>
              </w:rPr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  <w:tc>
          <w:tcPr>
            <w:shd w:val="clear" w:color="auto" w:fill="auto"/>
            <w:tcW w:w="1077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/>
                <w:bCs/>
              </w:rPr>
            </w:pPr>
            <w:r>
              <w:rPr>
                <w:rFonts w:ascii="PT Astra Serif" w:hAnsi="PT Astra Serif" w:eastAsia="Calibri" w:cs="Times New Roman"/>
                <w:b/>
                <w:bCs/>
              </w:rPr>
              <w:t xml:space="preserve">Характеристики услуги</w:t>
            </w:r>
            <w:r>
              <w:rPr>
                <w:rFonts w:ascii="PT Astra Serif" w:hAnsi="PT Astra Serif" w:eastAsia="Calibri"/>
                <w:b/>
                <w:bCs/>
              </w:rPr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/>
                <w:bCs/>
              </w:rPr>
            </w:pPr>
            <w:r>
              <w:rPr>
                <w:rFonts w:ascii="PT Astra Serif" w:hAnsi="PT Astra Serif" w:eastAsia="Calibri"/>
                <w:b/>
                <w:bCs/>
              </w:rPr>
              <w:t xml:space="preserve">Ед. изм-ия</w:t>
            </w:r>
            <w:r>
              <w:rPr>
                <w:rFonts w:ascii="PT Astra Serif" w:hAnsi="PT Astra Serif" w:eastAsia="Calibri"/>
                <w:b/>
                <w:bCs/>
              </w:rPr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/>
                <w:bCs/>
              </w:rPr>
            </w:pPr>
            <w:r>
              <w:rPr>
                <w:rFonts w:ascii="PT Astra Serif" w:hAnsi="PT Astra Serif" w:eastAsia="Calibri" w:cs="Times New Roman"/>
                <w:b/>
                <w:bCs/>
              </w:rPr>
            </w:r>
            <w:r>
              <w:rPr>
                <w:rFonts w:ascii="PT Astra Serif" w:hAnsi="PT Astra Serif"/>
                <w:b/>
                <w:bCs/>
                <w:sz w:val="22"/>
                <w:szCs w:val="28"/>
                <w:lang w:eastAsia="ru-RU"/>
              </w:rPr>
              <w:t xml:space="preserve">Кол-во</w:t>
            </w:r>
            <w:r>
              <w:rPr>
                <w:rFonts w:ascii="PT Astra Serif" w:hAnsi="PT Astra Serif"/>
                <w:b/>
                <w:bCs/>
                <w:sz w:val="22"/>
                <w:szCs w:val="28"/>
                <w:lang w:eastAsia="ru-RU"/>
              </w:rPr>
              <w:t xml:space="preserve">  </w:t>
            </w:r>
            <w:r>
              <w:rPr>
                <w:rFonts w:ascii="PT Astra Serif" w:hAnsi="PT Astra Serif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PT Astra Serif" w:hAnsi="PT Astra Serif" w:eastAsia="Calibri"/>
                <w:b/>
                <w:bCs/>
              </w:rPr>
            </w:r>
            <w:r>
              <w:rPr>
                <w:rFonts w:ascii="PT Astra Serif" w:hAnsi="PT Astra Serif" w:eastAsia="Calibri"/>
                <w:b/>
                <w:bCs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 w:val="0"/>
                <w:bCs w:val="0"/>
              </w:rPr>
            </w:pPr>
            <w:r>
              <w:rPr>
                <w:rFonts w:ascii="PT Astra Serif" w:hAnsi="PT Astra Serif" w:eastAsia="Calibri"/>
                <w:b w:val="0"/>
                <w:bCs w:val="0"/>
              </w:rPr>
              <w:t xml:space="preserve">1</w:t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 w:val="0"/>
                <w:bCs w:val="0"/>
              </w:rPr>
            </w:pPr>
            <w:r>
              <w:rPr>
                <w:rFonts w:ascii="PT Astra Serif" w:hAnsi="PT Astra Serif" w:eastAsia="Calibri"/>
                <w:b w:val="0"/>
                <w:bCs w:val="0"/>
              </w:rPr>
            </w:r>
            <w:r>
              <w:rPr>
                <w:rFonts w:ascii="PT Astra Serif" w:hAnsi="PT Astra Serif" w:eastAsia="Calibri"/>
                <w:b w:val="0"/>
                <w:bCs w:val="0"/>
              </w:rPr>
              <w:t xml:space="preserve">Техническое обслуживание систем автоматической пожарной сигнализации, установленных в многоквартирных домах с низкой степенью огнестойкости</w:t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</w:p>
        </w:tc>
        <w:tc>
          <w:tcPr>
            <w:shd w:val="clear" w:color="auto" w:fill="auto"/>
            <w:tcW w:w="10772" w:type="dxa"/>
            <w:textDirection w:val="lrTb"/>
            <w:noWrap w:val="false"/>
          </w:tcPr>
          <w:p>
            <w:pPr>
              <w:jc w:val="both"/>
              <w:spacing w:after="0" w:afterAutospacing="0"/>
              <w:widowControl w:val="off"/>
              <w:rPr>
                <w:rFonts w:ascii="PT Astra Serif" w:hAnsi="PT Astra Serif" w:eastAsia="Calibri"/>
                <w:bCs/>
              </w:rPr>
            </w:pPr>
            <w:r>
              <w:rPr>
                <w:rFonts w:ascii="PT Astra Serif" w:hAnsi="PT Astra Serif" w:eastAsia="Calibri"/>
                <w:bCs/>
              </w:rPr>
              <w:t xml:space="preserve">            Исполнитель обеспечивает</w:t>
            </w:r>
            <w:r>
              <w:rPr>
                <w:rFonts w:eastAsia="Calibri"/>
              </w:rPr>
              <w:t xml:space="preserve"> </w:t>
            </w:r>
            <w:r>
              <w:rPr>
                <w:rFonts w:ascii="PT Astra Serif" w:hAnsi="PT Astra Serif" w:eastAsia="Calibri"/>
                <w:bCs/>
              </w:rPr>
              <w:t xml:space="preserve">техническое обслуживание </w:t>
            </w:r>
            <w:r>
              <w:rPr>
                <w:rFonts w:ascii="PT Astra Serif" w:hAnsi="PT Astra Serif" w:eastAsia="PT Astra Serif" w:cs="PT Astra Serif"/>
              </w:rPr>
              <w:t xml:space="preserve">систем автоматической пожарной сигнализации, установленных в многоквартирных домах с низкой степенью огнестойкости обеспечения пожарной безопасности зданий и сооружений для обеспечения муниципальных нужд </w:t>
            </w:r>
            <w:r>
              <w:rPr>
                <w:rFonts w:ascii="PT Astra Serif" w:hAnsi="PT Astra Serif" w:eastAsia="Calibri"/>
                <w:bCs/>
              </w:rPr>
              <w:t xml:space="preserve">с момента заключения контракта, но не ранее 01 января</w:t>
            </w:r>
            <w:r>
              <w:rPr>
                <w:rFonts w:ascii="PT Astra Serif" w:hAnsi="PT Astra Serif" w:eastAsia="Calibri"/>
              </w:rPr>
              <w:t xml:space="preserve"> </w:t>
            </w:r>
            <w:r>
              <w:rPr>
                <w:rFonts w:ascii="PT Astra Serif" w:hAnsi="PT Astra Serif" w:eastAsia="Calibri"/>
                <w:bCs/>
              </w:rPr>
              <w:t xml:space="preserve">2026 года по 31 декабря 2026 года (включительно):</w:t>
            </w:r>
            <w:r>
              <w:rPr>
                <w:rFonts w:ascii="PT Astra Serif" w:hAnsi="PT Astra Serif" w:eastAsia="Calibri"/>
                <w:bCs/>
              </w:rPr>
            </w:r>
            <w:r>
              <w:rPr>
                <w:rFonts w:ascii="PT Astra Serif" w:hAnsi="PT Astra Serif" w:eastAsia="Calibri"/>
                <w:bCs/>
              </w:rPr>
            </w:r>
          </w:p>
          <w:p>
            <w:pPr>
              <w:numPr>
                <w:ilvl w:val="0"/>
                <w:numId w:val="6"/>
              </w:numPr>
              <w:ind w:right="284"/>
              <w:jc w:val="both"/>
              <w:spacing w:before="240" w:after="0" w:line="360" w:lineRule="auto"/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  <w:b/>
                <w:bCs/>
                <w:iCs/>
              </w:rPr>
              <w:t xml:space="preserve">ОБЩИЕ СВЕДЕНИЯ</w:t>
            </w:r>
            <w:r>
              <w:rPr>
                <w:rFonts w:ascii="PT Astra Serif" w:hAnsi="PT Astra Serif"/>
                <w:b/>
                <w:bCs/>
                <w:iCs/>
              </w:rPr>
            </w:r>
            <w:r>
              <w:rPr>
                <w:rFonts w:ascii="PT Astra Serif" w:hAnsi="PT Astra Serif"/>
                <w:b/>
                <w:bCs/>
                <w:iCs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           Состав и содержание оказываемых услуг определены </w:t>
            </w:r>
            <w:r>
              <w:rPr>
                <w:rFonts w:ascii="PT Astra Serif" w:hAnsi="PT Astra Serif" w:eastAsia="Calibri"/>
                <w:color w:val="auto"/>
              </w:rPr>
              <w:t xml:space="preserve">настоящим техническим заданием</w:t>
            </w:r>
            <w:r>
              <w:rPr>
                <w:rFonts w:ascii="PT Astra Serif" w:hAnsi="PT Astra Serif" w:eastAsia="Calibri"/>
              </w:rPr>
              <w:t xml:space="preserve">.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 w:eastAsia="Calibri"/>
                <w:highlight w:val="none"/>
              </w:rPr>
            </w:pPr>
            <w:r>
              <w:rPr>
                <w:rFonts w:ascii="PT Astra Serif" w:hAnsi="PT Astra Serif" w:eastAsia="Calibri"/>
              </w:rPr>
              <w:t xml:space="preserve">           Места оказания услуг приведены в соответствии с адресным перечнем в Приложении №3 к настоящему Техническому заданию. </w:t>
            </w:r>
            <w:r>
              <w:rPr>
                <w:rFonts w:ascii="PT Astra Serif" w:hAnsi="PT Astra Serif" w:eastAsia="Calibri"/>
                <w:highlight w:val="none"/>
              </w:rPr>
            </w:r>
            <w:r>
              <w:rPr>
                <w:rFonts w:ascii="PT Astra Serif" w:hAnsi="PT Astra Serif" w:eastAsia="Calibri"/>
                <w:highlight w:val="none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highlight w:val="none"/>
              </w:rPr>
              <w:t xml:space="preserve">           </w:t>
            </w:r>
            <w:r>
              <w:rPr>
                <w:rFonts w:ascii="PT Astra Serif" w:hAnsi="PT Astra Serif" w:eastAsia="Calibri"/>
                <w:highlight w:val="none"/>
              </w:rPr>
              <w:t xml:space="preserve">Проектная документация на систему автоматической пожарной сигнализации, установленную в домах, включенных в адресный перечень (Приложение № 3 настоящего Технического задания), отсутствует</w:t>
            </w:r>
            <w:r>
              <w:rPr>
                <w:rFonts w:ascii="PT Astra Serif" w:hAnsi="PT Astra Serif" w:eastAsia="Calibri"/>
              </w:rPr>
              <w:t xml:space="preserve">.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left="709" w:firstLine="0"/>
              <w:jc w:val="both"/>
              <w:keepLines/>
              <w:keepNext/>
              <w:spacing w:after="0" w:line="240" w:lineRule="auto"/>
              <w:tabs>
                <w:tab w:val="left" w:pos="1560" w:leader="none"/>
              </w:tabs>
              <w:rPr>
                <w:rFonts w:ascii="PT Astra Serif" w:hAnsi="PT Astra Serif"/>
                <w:bCs/>
              </w:rPr>
              <w:outlineLvl w:val="1"/>
            </w:pPr>
            <w:r>
              <w:rPr>
                <w:rFonts w:ascii="PT Astra Serif" w:hAnsi="PT Astra Serif"/>
                <w:bCs/>
              </w:rPr>
              <w:t xml:space="preserve">Цель проведения технического обслуживания</w:t>
            </w:r>
            <w:r>
              <w:rPr>
                <w:rFonts w:ascii="PT Astra Serif" w:hAnsi="PT Astra Serif"/>
                <w:bCs/>
              </w:rPr>
            </w:r>
            <w:r>
              <w:rPr>
                <w:rFonts w:ascii="PT Astra Serif" w:hAnsi="PT Astra Serif"/>
                <w:bCs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Услуги по техническому обслуживанию проводятся с целью поддержания систем автоматической пожарной сигнализации (далее – АПС) в работоспособном и технически исправном состоянии, а так же обеспечения их срабатывания при возникновении пожара. 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numPr>
                <w:ilvl w:val="0"/>
                <w:numId w:val="5"/>
              </w:numPr>
              <w:ind w:left="928" w:right="284" w:hanging="219"/>
              <w:jc w:val="both"/>
              <w:spacing w:before="240" w:after="0" w:line="360" w:lineRule="auto"/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  <w:b/>
                <w:bCs/>
                <w:iCs/>
              </w:rPr>
              <w:t xml:space="preserve">ТРЕБОВАНИЯ К ОКАЗАНИЮ УСЛУГ</w:t>
            </w:r>
            <w:r>
              <w:rPr>
                <w:rFonts w:ascii="PT Astra Serif" w:hAnsi="PT Astra Serif"/>
                <w:b/>
                <w:bCs/>
                <w:iCs/>
              </w:rPr>
            </w:r>
            <w:r>
              <w:rPr>
                <w:rFonts w:ascii="PT Astra Serif" w:hAnsi="PT Astra Serif"/>
                <w:b/>
                <w:bCs/>
                <w:iCs/>
              </w:rPr>
            </w:r>
          </w:p>
          <w:p>
            <w:pPr>
              <w:jc w:val="both"/>
              <w:keepLines/>
              <w:keepNext/>
              <w:spacing w:before="120" w:after="0" w:line="240" w:lineRule="auto"/>
              <w:rPr>
                <w:rFonts w:ascii="PT Astra Serif" w:hAnsi="PT Astra Serif"/>
                <w:b/>
                <w:bCs/>
              </w:rPr>
              <w:outlineLvl w:val="1"/>
            </w:pPr>
            <w:r>
              <w:rPr>
                <w:rFonts w:ascii="PT Astra Serif" w:hAnsi="PT Astra Serif"/>
                <w:b w:val="0"/>
                <w:bCs w:val="0"/>
              </w:rPr>
              <w:t xml:space="preserve">     </w:t>
            </w:r>
            <w:r>
              <w:rPr>
                <w:rFonts w:ascii="PT Astra Serif" w:hAnsi="PT Astra Serif"/>
                <w:b/>
                <w:bCs/>
              </w:rPr>
              <w:t xml:space="preserve">   2.1. Требования к объему и результатам оказываемых услуг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  <w:p>
            <w:pPr>
              <w:ind w:firstLine="709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Исполнитель осуществляет техническое обслуживание в объеме, предусмотренном разделом 3 и Приложением 1 муниципального контракта. 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709"/>
              <w:jc w:val="both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  <w:t xml:space="preserve">При каждом поступлении ложного срабатывания производится внеплановое </w:t>
            </w:r>
            <w:r>
              <w:rPr>
                <w:rFonts w:ascii="PT Astra Serif" w:hAnsi="PT Astra Serif" w:eastAsia="Calibri"/>
              </w:rPr>
              <w:t xml:space="preserve">техническое обслуживание, которое включает в себя аварийно-восстановительный ремонт системы, необходимый для устранения сбоев в работе оборудования, в результате которых нарушается режим работы систем АПС.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left="0" w:firstLine="0"/>
              <w:jc w:val="both"/>
              <w:keepLines/>
              <w:keepNext/>
              <w:spacing w:before="120" w:after="0" w:line="240" w:lineRule="auto"/>
              <w:tabs>
                <w:tab w:val="left" w:pos="1560" w:leader="none"/>
              </w:tabs>
              <w:rPr>
                <w:rFonts w:ascii="PT Astra Serif" w:hAnsi="PT Astra Serif"/>
                <w:b/>
                <w:bCs/>
              </w:rPr>
              <w:outlineLvl w:val="1"/>
            </w:pPr>
            <w:r>
              <w:rPr>
                <w:rFonts w:ascii="PT Astra Serif" w:hAnsi="PT Astra Serif"/>
                <w:b w:val="0"/>
                <w:bCs w:val="0"/>
              </w:rPr>
              <w:t xml:space="preserve">           </w:t>
            </w:r>
            <w:r>
              <w:rPr>
                <w:rFonts w:ascii="PT Astra Serif" w:hAnsi="PT Astra Serif"/>
                <w:b/>
                <w:bCs/>
              </w:rPr>
              <w:t xml:space="preserve"> 2.2. Требования по безопасности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  <w:p>
            <w:pPr>
              <w:ind w:firstLine="709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Исполнитель обеспечивает выполнение необходимых мероприятий по соблюдению техники безопасности, пожарной безопасности при оказании услуг.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Техническое обслуживание систем АПС должно осуществляться в соответствии с руководством по эксплуатации оборудования и нормативно-техническими документами: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Постановлением Правительства РФ от 16.09.2020 № 1479 «Об утверждении Правил противопожарного режима в Российской Федерации»;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РД 25.964-90 Система технического обслуживания и ремонта автоматических установок пожаротушения, дымоудаления, охранной, пожарной и охранно-пожарной сигнализации. Организация и порядок проведения работ;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РД 009-01-96 Система руководящих документов по пожарной автоматике. Установки пожарной автоматики. Правила технического содержания;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РД 009-02-96 Система руководящих документов по пожарной автоматике. Установки пожарной автоматики. Техническое обслуживание и планово-предупредительный ремонт;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ГОСТ Р 51241-2008 Национальный стандарт Российской Федерации. Средства и системы контроля и управления доступом. Классификация. Общие технические требования. Методы испытаний;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ГОСТ Р 54101-2010 Национальный стандарт Российской Федерации. Средства автоматизации и системы управления. Средства и системы обеспечения безопасности. </w:t>
            </w:r>
            <w:r>
              <w:rPr>
                <w:rFonts w:ascii="PT Astra Serif" w:hAnsi="PT Astra Serif" w:eastAsia="Calibri"/>
              </w:rPr>
              <w:t xml:space="preserve">Техническое обслуживание и текущий ремонт;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Федеральный закон от 22.07.2008 N 123-ФЗ «Технический регламент о требованиях пожарной безопасности»;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СП 485.1311500.2020 Свод правил. «Системы противопожарной защиты. Установки пожаротушения автоматические. Нормы и правила проектирования»;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Федеральный закон от 27.07.2006 N 149-ФЗ «Об информации, информационных технологиях и о защите информации»;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firstLine="567"/>
              <w:jc w:val="both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- Федеральный закон от 27.12.2002 N 184-ФЗ «О техническом регулировании».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jc w:val="both"/>
              <w:keepLines/>
              <w:keepNext/>
              <w:spacing w:before="120" w:after="0" w:line="240" w:lineRule="auto"/>
              <w:tabs>
                <w:tab w:val="left" w:pos="1560" w:leader="none"/>
              </w:tabs>
              <w:rPr>
                <w:rFonts w:ascii="PT Astra Serif" w:hAnsi="PT Astra Serif"/>
                <w:b/>
                <w:bCs/>
              </w:rPr>
              <w:outlineLvl w:val="1"/>
            </w:pPr>
            <w:r>
              <w:rPr>
                <w:rFonts w:ascii="PT Astra Serif" w:hAnsi="PT Astra Serif"/>
                <w:b/>
                <w:bCs/>
              </w:rPr>
              <w:t xml:space="preserve">          </w:t>
            </w:r>
            <w:r>
              <w:rPr>
                <w:rFonts w:ascii="PT Astra Serif" w:hAnsi="PT Astra Serif"/>
                <w:b/>
                <w:bCs/>
              </w:rPr>
              <w:t xml:space="preserve">2.3. </w:t>
            </w:r>
            <w:r>
              <w:rPr>
                <w:rFonts w:ascii="PT Astra Serif" w:hAnsi="PT Astra Serif"/>
                <w:b/>
                <w:bCs/>
              </w:rPr>
              <w:t xml:space="preserve">Требования к исполнителю 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Исполнитель имеет лицензию МЧС на техническое обслуживание и ремонт систем пожарной и охранно-пожарной сигнализации и их элементов, включая диспетчеризацию и проведение пуско-наладочных работ.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Техническое обслуживание выполняется специалистами, прошедшими соответствующую подготовку (повышение квалификации не менее одного раза в пять лет) и имеющими профессиональное образование.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Специалисты Исполнителя имеют соответствующие допуски не ниже II группы электробезопасности при работе в электроустановках до 1000 В, подтвержденные документами установленного образца.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Исполнитель ведет надлежащим образом оформленный журнал по техническому обслуживанию и планово-предупредительному ремонту АПС, о характере и объеме выполненных работ с указанием сроков их начала и окончания.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При обнаружении элементов системы АПС, изделий или оборудования, входящих в их состав, нуждающихся в ремонте или замене, Исполнителем самостоятельно или по заявке </w:t>
            </w:r>
            <w:r>
              <w:rPr>
                <w:rFonts w:ascii="PT Astra Serif" w:hAnsi="PT Astra Serif"/>
              </w:rPr>
              <w:t xml:space="preserve">Заказчика осуществляется их замена или ремонт.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ind w:firstLine="567"/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 итогам ежемесячного тех</w:t>
            </w:r>
            <w:r>
              <w:rPr>
                <w:rFonts w:ascii="PT Astra Serif" w:hAnsi="PT Astra Serif"/>
              </w:rPr>
              <w:t xml:space="preserve">нического обслуживания Исполнитель составляет акт проведенных услуг согласно утвержденной форме (приложение №2 к техническому заданию), подтверждающий факт оказания услуг по техническому обслуживанию, с последующим направлением акта Заказчику.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ind w:firstLine="567"/>
              <w:jc w:val="both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/>
              </w:rPr>
              <w:t xml:space="preserve">По окончании услуг Исполнитель передает Заказчику журналы по техническому обслуживанию и планово-предупредительному ремонту АПС.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  <w:p>
            <w:pPr>
              <w:ind w:left="928" w:firstLine="0"/>
              <w:jc w:val="both"/>
              <w:keepLines/>
              <w:keepNext/>
              <w:spacing w:after="0" w:line="240" w:lineRule="auto"/>
              <w:rPr>
                <w:rFonts w:ascii="PT Astra Serif" w:hAnsi="PT Astra Serif"/>
                <w:b w:val="0"/>
                <w:bCs w:val="0"/>
              </w:rPr>
              <w:outlineLvl w:val="1"/>
            </w:pPr>
            <w:r>
              <w:rPr>
                <w:rFonts w:ascii="PT Astra Serif" w:hAnsi="PT Astra Serif"/>
                <w:b/>
                <w:bCs/>
              </w:rPr>
              <w:t xml:space="preserve">3. СОСТАВ И СОДЕРЖАНИЕ УСЛУГ</w:t>
            </w:r>
            <w:r>
              <w:rPr>
                <w:rFonts w:ascii="PT Astra Serif" w:hAnsi="PT Astra Serif"/>
                <w:b w:val="0"/>
                <w:bCs w:val="0"/>
              </w:rPr>
            </w:r>
            <w:r>
              <w:rPr>
                <w:rFonts w:ascii="PT Astra Serif" w:hAnsi="PT Astra Serif"/>
                <w:b w:val="0"/>
                <w:bCs w:val="0"/>
              </w:rPr>
            </w:r>
          </w:p>
          <w:p>
            <w:pPr>
              <w:ind w:left="928"/>
              <w:jc w:val="both"/>
              <w:keepLines/>
              <w:keepNext/>
              <w:spacing w:after="0" w:line="240" w:lineRule="auto"/>
              <w:rPr>
                <w:rFonts w:ascii="PT Astra Serif" w:hAnsi="PT Astra Serif"/>
                <w:b/>
                <w:bCs/>
              </w:rPr>
              <w:outlineLvl w:val="1"/>
            </w:pP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  <w:b/>
                <w:bCs/>
              </w:rPr>
            </w:r>
          </w:p>
          <w:p>
            <w:pPr>
              <w:numPr>
                <w:ilvl w:val="1"/>
                <w:numId w:val="4"/>
              </w:numPr>
              <w:ind w:left="0" w:firstLine="709"/>
              <w:jc w:val="both"/>
              <w:spacing w:after="0" w:line="240" w:lineRule="auto"/>
              <w:rPr>
                <w:rFonts w:ascii="PT Astra Serif" w:hAnsi="PT Astra Serif" w:eastAsia="Calibri"/>
                <w:b/>
              </w:rPr>
            </w:pPr>
            <w:r>
              <w:rPr>
                <w:rFonts w:ascii="PT Astra Serif" w:hAnsi="PT Astra Serif" w:eastAsia="Calibri"/>
                <w:b/>
              </w:rPr>
              <w:t xml:space="preserve">Оказание услуг по техническому обслуживанию АПС включает в себя:</w:t>
            </w:r>
            <w:r>
              <w:rPr>
                <w:rFonts w:ascii="PT Astra Serif" w:hAnsi="PT Astra Serif" w:eastAsia="Calibri"/>
                <w:b/>
              </w:rPr>
            </w:r>
            <w:r>
              <w:rPr>
                <w:rFonts w:ascii="PT Astra Serif" w:hAnsi="PT Astra Serif" w:eastAsia="Calibri"/>
                <w:b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-контроль технического состояния систем АПС;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-осуществление плановых регламентных работ, необходимых для содержания оборудования в исправном рабочем состоянии;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-проверка соответствия систем АПС, в том числе их электрических и иных параметров и требованиям технической документации;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-ликвидация последствий воздействия на системы АПС неблагоприятных климатических, производственных и иных условий;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-выявление и устранение причин ложных срабатываний оборудования;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-определение предельного состояния установок систем АПС, при которых их дальнейшая эксплуатация становится невозможной или нецелесообразной, путем проведения освидетельствования; 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-анализ и обобщение информации о техническом состоянии обслуживаемых систем АПС и их надежности при эксплуатации;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</w:rPr>
              <w:t xml:space="preserve">-проведение, в ходе ежемесячного технического обслуживания, принудительных срабатываний автоматической пожарной сигнализации, с проверкой исправности вывода сигнала АПС в отдел ЕДДС Администрации города.</w:t>
            </w:r>
            <w:r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  <w:p>
            <w:pPr>
              <w:ind w:left="0" w:firstLine="0"/>
              <w:jc w:val="both"/>
              <w:spacing w:after="0" w:line="240" w:lineRule="auto"/>
              <w:rPr>
                <w:rFonts w:ascii="PT Astra Serif" w:hAnsi="PT Astra Serif" w:eastAsia="Calibri"/>
                <w:b/>
                <w:highlight w:val="none"/>
              </w:rPr>
            </w:pPr>
            <w:r>
              <w:rPr>
                <w:rFonts w:ascii="PT Astra Serif" w:hAnsi="PT Astra Serif" w:eastAsia="Calibri"/>
                <w:b/>
                <w:highlight w:val="none"/>
              </w:rPr>
              <w:t xml:space="preserve">           </w:t>
            </w:r>
            <w:r>
              <w:rPr>
                <w:rFonts w:ascii="PT Astra Serif" w:hAnsi="PT Astra Serif" w:eastAsia="Calibri"/>
                <w:b/>
                <w:highlight w:val="none"/>
              </w:rPr>
              <w:t xml:space="preserve">  </w:t>
            </w:r>
            <w:r>
              <w:rPr>
                <w:rFonts w:ascii="PT Astra Serif" w:hAnsi="PT Astra Serif" w:eastAsia="Calibri"/>
                <w:b/>
                <w:highlight w:val="none"/>
              </w:rPr>
              <w:t xml:space="preserve">3.2.       </w:t>
            </w:r>
            <w:r>
              <w:rPr>
                <w:rFonts w:ascii="PT Astra Serif" w:hAnsi="PT Astra Serif" w:eastAsia="Calibri"/>
                <w:b/>
                <w:highlight w:val="none"/>
              </w:rPr>
              <w:t xml:space="preserve">Оказание услуг по  техническому обслуживанию АПС  при признании  многоквартирного дома аварийным и подлежащему сносу</w:t>
            </w:r>
            <w:r>
              <w:rPr>
                <w:rFonts w:ascii="PT Astra Serif" w:hAnsi="PT Astra Serif" w:eastAsia="Calibri"/>
                <w:b/>
                <w:highlight w:val="none"/>
              </w:rPr>
              <w:t xml:space="preserve">:</w:t>
            </w:r>
            <w:r>
              <w:rPr>
                <w:rFonts w:ascii="PT Astra Serif" w:hAnsi="PT Astra Serif" w:eastAsia="Calibri"/>
                <w:b/>
                <w:highlight w:val="none"/>
              </w:rPr>
            </w:r>
            <w:r>
              <w:rPr>
                <w:rFonts w:ascii="PT Astra Serif" w:hAnsi="PT Astra Serif" w:eastAsia="Calibri"/>
                <w:b/>
                <w:highlight w:val="none"/>
              </w:rPr>
            </w:r>
          </w:p>
          <w:p>
            <w:pPr>
              <w:jc w:val="both"/>
              <w:spacing w:after="0" w:afterAutospacing="0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-</w:t>
            </w:r>
            <w:r>
              <w:rPr>
                <w:rFonts w:ascii="PT Astra Serif" w:hAnsi="PT Astra Serif"/>
                <w:highlight w:val="none"/>
              </w:rPr>
              <w:t xml:space="preserve">при расселении и отключении жилого дома от  коммуникаций систем жизнеобеспечения, </w:t>
            </w:r>
            <w:r>
              <w:rPr>
                <w:rFonts w:ascii="PT Astra Serif" w:hAnsi="PT Astra Serif"/>
                <w:highlight w:val="none"/>
              </w:rPr>
              <w:t xml:space="preserve">при которых дальнейшая эксплуатация АПС становится невозможной и/или нецелесообразной,</w:t>
            </w:r>
            <w:r>
              <w:rPr>
                <w:rFonts w:ascii="PT Astra Serif" w:hAnsi="PT Astra Serif"/>
                <w:highlight w:val="none"/>
              </w:rPr>
              <w:t xml:space="preserve"> осуществить демонтаж оборудования системы АПС с передачей его  Заказчику по адресу г. Губкинский, мкр. 14, дом 43 управление ГО и ЧС и БН Администрации города</w:t>
            </w:r>
            <w:r>
              <w:rPr>
                <w:rFonts w:ascii="PT Astra Serif" w:hAnsi="PT Astra Serif"/>
                <w:highlight w:val="none"/>
              </w:rPr>
              <w:t xml:space="preserve">; 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  <w:p>
            <w:pPr>
              <w:jc w:val="both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  <w:t xml:space="preserve">-</w:t>
            </w:r>
            <w:r>
              <w:rPr>
                <w:rFonts w:ascii="PT Astra Serif" w:hAnsi="PT Astra Serif"/>
                <w:highlight w:val="none"/>
              </w:rPr>
              <w:t xml:space="preserve">исключить начисление оплаты ТО АПС данных домов из ежемесячного обслуживания, путем перерасчета по фактическому обслуживанию  систем АПС начиная с первого числа следующего месяца.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rFonts w:ascii="PT Astra Serif" w:hAnsi="PT Astra Serif"/>
                <w:highlight w:val="none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 w:val="0"/>
                <w:bCs w:val="0"/>
              </w:rPr>
            </w:pPr>
            <w:r>
              <w:rPr>
                <w:rFonts w:ascii="PT Astra Serif" w:hAnsi="PT Astra Serif" w:eastAsia="Calibri"/>
                <w:b w:val="0"/>
                <w:bCs w:val="0"/>
              </w:rPr>
              <w:t xml:space="preserve">дом</w:t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Calibri"/>
                <w:b w:val="0"/>
                <w:bCs w:val="0"/>
              </w:rPr>
            </w:pPr>
            <w:r>
              <w:rPr>
                <w:rFonts w:ascii="PT Astra Serif" w:hAnsi="PT Astra Serif" w:eastAsia="Calibri"/>
                <w:b w:val="0"/>
                <w:bCs w:val="0"/>
              </w:rPr>
              <w:t xml:space="preserve">14</w:t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  <w:r>
              <w:rPr>
                <w:rFonts w:ascii="PT Astra Serif" w:hAnsi="PT Astra Serif" w:eastAsia="Calibri"/>
                <w:b w:val="0"/>
                <w:bCs w:val="0"/>
              </w:rPr>
            </w:r>
          </w:p>
        </w:tc>
      </w:tr>
    </w:tbl>
    <w:p>
      <w:pPr>
        <w:jc w:val="both"/>
        <w:widowControl w:val="off"/>
        <w:rPr>
          <w:rFonts w:ascii="PT Astra Serif" w:hAnsi="PT Astra Serif"/>
          <w:bCs/>
          <w:i/>
          <w:sz w:val="20"/>
          <w:szCs w:val="20"/>
        </w:rPr>
      </w:pPr>
      <w:r>
        <w:rPr>
          <w:rFonts w:ascii="PT Astra Serif" w:hAnsi="PT Astra Serif"/>
          <w:bCs/>
          <w:i/>
          <w:sz w:val="20"/>
          <w:szCs w:val="20"/>
        </w:rPr>
      </w:r>
      <w:r>
        <w:rPr>
          <w:rFonts w:ascii="PT Astra Serif" w:hAnsi="PT Astra Serif"/>
          <w:bCs/>
          <w:i/>
          <w:sz w:val="20"/>
          <w:szCs w:val="20"/>
        </w:rPr>
      </w:r>
      <w:r>
        <w:rPr>
          <w:rFonts w:ascii="PT Astra Serif" w:hAnsi="PT Astra Serif"/>
          <w:bCs/>
          <w:i/>
          <w:sz w:val="20"/>
          <w:szCs w:val="20"/>
        </w:rPr>
      </w:r>
    </w:p>
    <w:p>
      <w:pPr>
        <w:jc w:val="both"/>
        <w:widowControl w:val="off"/>
        <w:rPr>
          <w:rFonts w:ascii="PT Astra Serif" w:hAnsi="PT Astra Serif"/>
          <w:bCs/>
          <w:i/>
          <w:sz w:val="20"/>
          <w:szCs w:val="20"/>
        </w:rPr>
      </w:pPr>
      <w:r>
        <w:rPr>
          <w:rFonts w:ascii="PT Astra Serif" w:hAnsi="PT Astra Serif"/>
          <w:bCs/>
          <w:i/>
          <w:sz w:val="20"/>
          <w:szCs w:val="20"/>
        </w:rPr>
      </w:r>
      <w:r>
        <w:rPr>
          <w:rFonts w:ascii="PT Astra Serif" w:hAnsi="PT Astra Serif"/>
          <w:bCs/>
          <w:i/>
          <w:sz w:val="20"/>
          <w:szCs w:val="20"/>
        </w:rPr>
      </w:r>
      <w:r>
        <w:rPr>
          <w:rFonts w:ascii="PT Astra Serif" w:hAnsi="PT Astra Serif"/>
          <w:bCs/>
          <w:i/>
          <w:sz w:val="20"/>
          <w:szCs w:val="20"/>
        </w:rPr>
      </w:r>
    </w:p>
    <w:p>
      <w:pPr>
        <w:contextualSpacing/>
        <w:ind w:firstLine="0"/>
        <w:jc w:val="right"/>
        <w:spacing w:after="0" w:afterAutospacing="0" w:line="120" w:lineRule="auto"/>
        <w:tabs>
          <w:tab w:val="left" w:pos="851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Приложение №3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8"/>
        <w:jc w:val="right"/>
        <w:rPr>
          <w:rFonts w:ascii="PT Astra Serif" w:hAnsi="PT Astra Serif" w:eastAsia="Calibri"/>
        </w:rPr>
      </w:pPr>
      <w:r>
        <w:rPr>
          <w:rFonts w:ascii="PT Astra Serif" w:hAnsi="PT Astra Serif"/>
        </w:rPr>
        <w:t xml:space="preserve">к техническому заданию </w:t>
      </w:r>
      <w:r>
        <w:rPr>
          <w:rFonts w:ascii="PT Astra Serif" w:hAnsi="PT Astra Serif" w:eastAsia="Calibri"/>
        </w:rPr>
        <w:t xml:space="preserve">на оказание услуг 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pStyle w:val="868"/>
        <w:jc w:val="right"/>
        <w:rPr>
          <w:rFonts w:ascii="PT Astra Serif" w:hAnsi="PT Astra Serif" w:eastAsia="Calibri"/>
          <w:highlight w:val="none"/>
        </w:rPr>
      </w:pPr>
      <w:r>
        <w:rPr>
          <w:rFonts w:ascii="PT Astra Serif" w:hAnsi="PT Astra Serif" w:eastAsia="Calibri"/>
        </w:rPr>
        <w:t xml:space="preserve">                                                           по техническому обслуживанию систем автоматической пожарной</w:t>
      </w:r>
      <w:r>
        <w:rPr>
          <w:rFonts w:ascii="PT Astra Serif" w:hAnsi="PT Astra Serif" w:eastAsia="Calibri"/>
          <w:highlight w:val="none"/>
        </w:rPr>
      </w:r>
      <w:r>
        <w:rPr>
          <w:rFonts w:ascii="PT Astra Serif" w:hAnsi="PT Astra Serif" w:eastAsia="Calibri"/>
          <w:highlight w:val="none"/>
        </w:rPr>
      </w:r>
    </w:p>
    <w:p>
      <w:pPr>
        <w:pStyle w:val="868"/>
        <w:jc w:val="right"/>
        <w:rPr>
          <w:rFonts w:ascii="PT Astra Serif" w:hAnsi="PT Astra Serif" w:eastAsia="Calibri"/>
        </w:rPr>
      </w:pPr>
      <w:r>
        <w:rPr>
          <w:rFonts w:ascii="PT Astra Serif" w:hAnsi="PT Astra Serif" w:eastAsia="Calibri"/>
          <w:highlight w:val="none"/>
        </w:rPr>
        <w:t xml:space="preserve">сигнализации, установленных в многоквартирных домах с низкой степенью огнестойкости</w:t>
      </w:r>
      <w:r>
        <w:rPr>
          <w:rFonts w:ascii="PT Astra Serif" w:hAnsi="PT Astra Serif" w:eastAsia="Calibri"/>
        </w:rPr>
      </w:r>
      <w:r>
        <w:rPr>
          <w:rFonts w:ascii="PT Astra Serif" w:hAnsi="PT Astra Serif" w:eastAsia="Calibri"/>
        </w:rPr>
      </w:r>
    </w:p>
    <w:p>
      <w:pPr>
        <w:contextualSpacing/>
        <w:ind w:firstLine="567"/>
        <w:jc w:val="right"/>
        <w:tabs>
          <w:tab w:val="left" w:pos="851" w:leader="none"/>
        </w:tabs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contextualSpacing/>
        <w:ind w:firstLine="567"/>
        <w:jc w:val="center"/>
        <w:tabs>
          <w:tab w:val="left" w:pos="851" w:leader="none"/>
        </w:tabs>
        <w:rPr>
          <w:b/>
          <w:sz w:val="24"/>
          <w:highlight w:val="none"/>
        </w:rPr>
      </w:pPr>
      <w:r>
        <w:rPr>
          <w:rFonts w:ascii="PT Astra Serif" w:hAnsi="PT Astra Serif"/>
          <w:b/>
          <w:sz w:val="24"/>
        </w:rPr>
        <w:t xml:space="preserve">АДРЕСНЫЙ ПЕРЕЧЕНЬ</w:t>
      </w:r>
      <w:r>
        <w:rPr>
          <w:b/>
          <w:sz w:val="24"/>
          <w:highlight w:val="none"/>
        </w:rPr>
      </w:r>
      <w:r>
        <w:rPr>
          <w:b/>
          <w:sz w:val="24"/>
          <w:highlight w:val="none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50"/>
        <w:gridCol w:w="13323"/>
      </w:tblGrid>
      <w:tr>
        <w:tblPrEx/>
        <w:trPr>
          <w:trHeight w:val="340"/>
        </w:trPr>
        <w:tc>
          <w:tcPr>
            <w:shd w:val="clear" w:color="auto" w:fill="auto"/>
            <w:tcW w:w="1950" w:type="dxa"/>
            <w:textDirection w:val="lrTb"/>
            <w:noWrap w:val="false"/>
          </w:tcPr>
          <w:p>
            <w:pPr>
              <w:contextualSpacing/>
              <w:jc w:val="center"/>
              <w:tabs>
                <w:tab w:val="left" w:pos="851" w:leader="none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contextualSpacing/>
              <w:tabs>
                <w:tab w:val="left" w:pos="851" w:leader="none"/>
              </w:tabs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Адрес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</w:tc>
      </w:tr>
      <w:tr>
        <w:tblPrEx/>
        <w:trPr>
          <w:trHeight w:val="36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мкр.6, д.7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0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мкр.6, д.8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мкр.6, д.10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мкр.6, д.23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мкр.6, д.47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мкр.6, д.48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мкр.6, д.65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мкр.11, д.47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мкр.11, д.52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мкр.11, д.57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мкр.12, д.14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auto" w:fill="auto"/>
            <w:tcW w:w="1950" w:type="dxa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auto" w:fill="auto"/>
            <w:tcW w:w="1332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мкр.12, д.15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ffffff" w:fill="ffffff"/>
            <w:tcW w:w="1950" w:type="dxa"/>
            <w:vMerge w:val="restart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ffffff" w:fill="ffffff"/>
            <w:tcW w:w="13323" w:type="dxa"/>
            <w:vMerge w:val="restart"/>
            <w:textDirection w:val="lrTb"/>
            <w:noWrap w:val="false"/>
          </w:tcPr>
          <w:p>
            <w:pPr>
              <w:pStyle w:val="860"/>
              <w:spacing w:before="0" w:after="200"/>
              <w:widowControl w:val="off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  <w:t xml:space="preserve">территория Пурпе–1, улица Труда, дом 19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shd w:val="clear" w:color="ffffff" w:fill="ffffff"/>
            <w:tcW w:w="1950" w:type="dxa"/>
            <w:vMerge w:val="restart"/>
            <w:textDirection w:val="lrTb"/>
            <w:noWrap/>
          </w:tcPr>
          <w:p>
            <w:pPr>
              <w:pStyle w:val="704"/>
              <w:numPr>
                <w:ilvl w:val="0"/>
                <w:numId w:val="7"/>
              </w:numPr>
              <w:jc w:val="center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  <w:tc>
          <w:tcPr>
            <w:shd w:val="clear" w:color="ffffff" w:fill="ffffff"/>
            <w:tcW w:w="13323" w:type="dxa"/>
            <w:vMerge w:val="restart"/>
            <w:textDirection w:val="lrTb"/>
            <w:noWrap w:val="false"/>
          </w:tcPr>
          <w:p>
            <w:pPr>
              <w:pStyle w:val="860"/>
              <w:spacing w:before="0" w:after="200"/>
              <w:widowControl w:val="off"/>
              <w:rPr>
                <w:rFonts w:ascii="PT Astra Serif" w:hAnsi="PT Astra Serif"/>
                <w:color w:val="000000"/>
                <w:sz w:val="24"/>
              </w:rPr>
            </w:pPr>
            <w:r>
              <w:rPr>
                <w:rFonts w:ascii="PT Astra Serif" w:hAnsi="PT Astra Serif"/>
                <w:iCs/>
                <w:sz w:val="24"/>
                <w:lang w:eastAsia="ru-RU"/>
              </w:rPr>
              <w:t xml:space="preserve">территория Пурпе–1, улица Труда, дом 21</w:t>
            </w:r>
            <w:r>
              <w:rPr>
                <w:rFonts w:ascii="PT Astra Serif" w:hAnsi="PT Astra Serif"/>
                <w:color w:val="000000"/>
                <w:sz w:val="24"/>
              </w:rPr>
            </w:r>
            <w:r>
              <w:rPr>
                <w:rFonts w:ascii="PT Astra Serif" w:hAnsi="PT Astra Serif"/>
                <w:color w:val="000000"/>
                <w:sz w:val="24"/>
              </w:rPr>
            </w:r>
          </w:p>
        </w:tc>
      </w:tr>
    </w:tbl>
    <w:p>
      <w:pPr>
        <w:pStyle w:val="868"/>
        <w:jc w:val="right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  <w:highlight w:val="none"/>
        </w:rPr>
      </w:r>
      <w:r>
        <w:rPr>
          <w:rFonts w:ascii="PT Astra Serif" w:hAnsi="PT Astra Serif"/>
          <w:sz w:val="24"/>
        </w:rPr>
      </w:r>
      <w:r>
        <w:rPr>
          <w:rFonts w:ascii="PT Astra Serif" w:hAnsi="PT Astra Serif"/>
          <w:sz w:val="24"/>
        </w:rPr>
      </w:r>
    </w:p>
    <w:p>
      <w:pPr>
        <w:pStyle w:val="868"/>
        <w:jc w:val="right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rFonts w:ascii="PT Astra Serif" w:hAnsi="PT Astra Serif"/>
          <w:sz w:val="24"/>
          <w:highlight w:val="none"/>
        </w:rPr>
      </w:r>
      <w:r>
        <w:rPr>
          <w:rFonts w:ascii="PT Astra Serif" w:hAnsi="PT Astra Serif"/>
          <w:sz w:val="24"/>
          <w:highlight w:val="none"/>
        </w:rPr>
      </w:r>
    </w:p>
    <w:p>
      <w:pPr>
        <w:pStyle w:val="868"/>
        <w:jc w:val="right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rFonts w:ascii="PT Astra Serif" w:hAnsi="PT Astra Serif"/>
          <w:sz w:val="24"/>
          <w:highlight w:val="none"/>
        </w:rPr>
      </w:r>
      <w:r>
        <w:rPr>
          <w:rFonts w:ascii="PT Astra Serif" w:hAnsi="PT Astra Serif"/>
          <w:sz w:val="24"/>
          <w:highlight w:val="none"/>
        </w:rPr>
      </w:r>
    </w:p>
    <w:sectPr>
      <w:footerReference w:type="default" r:id="rId9"/>
      <w:footnotePr/>
      <w:endnotePr/>
      <w:type w:val="nextPage"/>
      <w:pgSz w:w="16838" w:h="11906" w:orient="landscape"/>
      <w:pgMar w:top="426" w:right="567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4"/>
      <w:jc w:val="center"/>
      <w:rPr>
        <w:rFonts w:ascii="PT Astra Serif" w:hAnsi="PT Astra Serif"/>
      </w:rPr>
    </w:pPr>
    <w:r>
      <w:rPr>
        <w:rFonts w:ascii="PT Astra Serif" w:hAnsi="PT Astra Serif"/>
      </w:rPr>
      <w:fldChar w:fldCharType="begin"/>
    </w:r>
    <w:r>
      <w:rPr>
        <w:rFonts w:ascii="PT Astra Serif" w:hAnsi="PT Astra Serif"/>
      </w:rPr>
      <w:instrText xml:space="preserve">PAGE   \* MERGEFORMAT</w:instrText>
    </w:r>
    <w:r>
      <w:rPr>
        <w:rFonts w:ascii="PT Astra Serif" w:hAnsi="PT Astra Serif"/>
      </w:rPr>
      <w:fldChar w:fldCharType="separate"/>
    </w:r>
    <w:r>
      <w:rPr>
        <w:rFonts w:ascii="PT Astra Serif" w:hAnsi="PT Astra Serif"/>
      </w:rPr>
      <w:t xml:space="preserve">22</w:t>
    </w:r>
    <w:r>
      <w:rPr>
        <w:rFonts w:ascii="PT Astra Serif" w:hAnsi="PT Astra Serif"/>
      </w:rPr>
      <w:fldChar w:fldCharType="end"/>
    </w:r>
    <w:r>
      <w:rPr>
        <w:rFonts w:ascii="PT Astra Serif" w:hAnsi="PT Astra Serif"/>
      </w:rPr>
    </w:r>
    <w:r>
      <w:rPr>
        <w:rFonts w:ascii="PT Astra Serif" w:hAnsi="PT Astra Serif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1211" w:hanging="360"/>
      </w:pPr>
      <w:rPr>
        <w:rFonts w:hint="default" w:ascii="PT Astra Serif" w:hAnsi="PT Astra Serif"/>
        <w:b/>
        <w:i w:val="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7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14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07" w:hanging="7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7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30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6">
    <w:name w:val="Heading 1"/>
    <w:basedOn w:val="860"/>
    <w:next w:val="860"/>
    <w:link w:val="6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7">
    <w:name w:val="Heading 1 Char"/>
    <w:basedOn w:val="861"/>
    <w:link w:val="686"/>
    <w:uiPriority w:val="9"/>
    <w:rPr>
      <w:rFonts w:ascii="Arial" w:hAnsi="Arial" w:eastAsia="Arial" w:cs="Arial"/>
      <w:sz w:val="40"/>
      <w:szCs w:val="40"/>
    </w:rPr>
  </w:style>
  <w:style w:type="paragraph" w:styleId="688">
    <w:name w:val="Heading 2"/>
    <w:basedOn w:val="860"/>
    <w:next w:val="860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9">
    <w:name w:val="Heading 2 Char"/>
    <w:basedOn w:val="861"/>
    <w:link w:val="688"/>
    <w:uiPriority w:val="9"/>
    <w:rPr>
      <w:rFonts w:ascii="Arial" w:hAnsi="Arial" w:eastAsia="Arial" w:cs="Arial"/>
      <w:sz w:val="34"/>
    </w:rPr>
  </w:style>
  <w:style w:type="paragraph" w:styleId="690">
    <w:name w:val="Heading 3"/>
    <w:basedOn w:val="860"/>
    <w:next w:val="860"/>
    <w:link w:val="6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1">
    <w:name w:val="Heading 3 Char"/>
    <w:basedOn w:val="861"/>
    <w:link w:val="690"/>
    <w:uiPriority w:val="9"/>
    <w:rPr>
      <w:rFonts w:ascii="Arial" w:hAnsi="Arial" w:eastAsia="Arial" w:cs="Arial"/>
      <w:sz w:val="30"/>
      <w:szCs w:val="30"/>
    </w:rPr>
  </w:style>
  <w:style w:type="paragraph" w:styleId="692">
    <w:name w:val="Heading 4"/>
    <w:basedOn w:val="860"/>
    <w:next w:val="860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3">
    <w:name w:val="Heading 4 Char"/>
    <w:basedOn w:val="861"/>
    <w:link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5">
    <w:name w:val="Heading 5 Char"/>
    <w:basedOn w:val="861"/>
    <w:link w:val="694"/>
    <w:uiPriority w:val="9"/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860"/>
    <w:next w:val="860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7">
    <w:name w:val="Heading 6 Char"/>
    <w:basedOn w:val="861"/>
    <w:link w:val="696"/>
    <w:uiPriority w:val="9"/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860"/>
    <w:next w:val="860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9">
    <w:name w:val="Heading 7 Char"/>
    <w:basedOn w:val="86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860"/>
    <w:next w:val="860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1">
    <w:name w:val="Heading 8 Char"/>
    <w:basedOn w:val="861"/>
    <w:link w:val="700"/>
    <w:uiPriority w:val="9"/>
    <w:rPr>
      <w:rFonts w:ascii="Arial" w:hAnsi="Arial" w:eastAsia="Arial" w:cs="Arial"/>
      <w:i/>
      <w:iCs/>
      <w:sz w:val="22"/>
      <w:szCs w:val="22"/>
    </w:rPr>
  </w:style>
  <w:style w:type="paragraph" w:styleId="702">
    <w:name w:val="Heading 9"/>
    <w:basedOn w:val="860"/>
    <w:next w:val="860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>
    <w:name w:val="Heading 9 Char"/>
    <w:basedOn w:val="861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List Paragraph"/>
    <w:basedOn w:val="860"/>
    <w:uiPriority w:val="34"/>
    <w:qFormat/>
    <w:pPr>
      <w:contextualSpacing/>
      <w:ind w:left="720"/>
    </w:pPr>
  </w:style>
  <w:style w:type="paragraph" w:styleId="705">
    <w:name w:val="Title"/>
    <w:basedOn w:val="860"/>
    <w:next w:val="860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1"/>
    <w:link w:val="705"/>
    <w:uiPriority w:val="10"/>
    <w:rPr>
      <w:sz w:val="48"/>
      <w:szCs w:val="48"/>
    </w:rPr>
  </w:style>
  <w:style w:type="paragraph" w:styleId="707">
    <w:name w:val="Subtitle"/>
    <w:basedOn w:val="860"/>
    <w:next w:val="860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1"/>
    <w:link w:val="707"/>
    <w:uiPriority w:val="11"/>
    <w:rPr>
      <w:sz w:val="24"/>
      <w:szCs w:val="24"/>
    </w:rPr>
  </w:style>
  <w:style w:type="paragraph" w:styleId="709">
    <w:name w:val="Quote"/>
    <w:basedOn w:val="860"/>
    <w:next w:val="860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0"/>
    <w:next w:val="860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1"/>
    <w:link w:val="870"/>
    <w:uiPriority w:val="99"/>
  </w:style>
  <w:style w:type="character" w:styleId="714">
    <w:name w:val="Footer Char"/>
    <w:basedOn w:val="861"/>
    <w:link w:val="864"/>
    <w:uiPriority w:val="99"/>
  </w:style>
  <w:style w:type="paragraph" w:styleId="715">
    <w:name w:val="Caption"/>
    <w:basedOn w:val="860"/>
    <w:next w:val="860"/>
    <w:link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715"/>
    <w:link w:val="864"/>
    <w:uiPriority w:val="99"/>
  </w:style>
  <w:style w:type="table" w:styleId="717">
    <w:name w:val="Table Grid"/>
    <w:basedOn w:val="86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basedOn w:val="861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1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qFormat/>
  </w:style>
  <w:style w:type="character" w:styleId="861" w:default="1">
    <w:name w:val="Default Paragraph Font"/>
    <w:uiPriority w:val="1"/>
    <w:semiHidden/>
    <w:unhideWhenUsed/>
  </w:style>
  <w:style w:type="table" w:styleId="8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3" w:default="1">
    <w:name w:val="No List"/>
    <w:uiPriority w:val="99"/>
    <w:semiHidden/>
    <w:unhideWhenUsed/>
  </w:style>
  <w:style w:type="paragraph" w:styleId="864">
    <w:name w:val="Footer"/>
    <w:basedOn w:val="860"/>
    <w:link w:val="865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Times New Roman" w:cs="Times New Roman"/>
      <w:sz w:val="24"/>
      <w:szCs w:val="24"/>
    </w:rPr>
  </w:style>
  <w:style w:type="character" w:styleId="865" w:customStyle="1">
    <w:name w:val="Нижний колонтитул Знак"/>
    <w:basedOn w:val="861"/>
    <w:link w:val="864"/>
    <w:rPr>
      <w:rFonts w:ascii="Calibri" w:hAnsi="Calibri" w:eastAsia="Times New Roman" w:cs="Times New Roman"/>
      <w:sz w:val="24"/>
      <w:szCs w:val="24"/>
    </w:rPr>
  </w:style>
  <w:style w:type="character" w:styleId="866">
    <w:name w:val="page number"/>
    <w:basedOn w:val="861"/>
    <w:link w:val="867"/>
  </w:style>
  <w:style w:type="paragraph" w:styleId="867" w:customStyle="1">
    <w:name w:val="Номер страницы1"/>
    <w:basedOn w:val="860"/>
    <w:link w:val="866"/>
    <w:pPr>
      <w:spacing w:after="0" w:line="240" w:lineRule="auto"/>
    </w:pPr>
  </w:style>
  <w:style w:type="paragraph" w:styleId="868">
    <w:name w:val="No Spacing"/>
    <w:uiPriority w:val="1"/>
    <w:qFormat/>
    <w:pPr>
      <w:spacing w:after="0" w:line="240" w:lineRule="auto"/>
    </w:pPr>
  </w:style>
  <w:style w:type="character" w:styleId="869">
    <w:name w:val="Hyperlink"/>
    <w:basedOn w:val="861"/>
    <w:uiPriority w:val="99"/>
    <w:unhideWhenUsed/>
    <w:rPr>
      <w:color w:val="0000ff" w:themeColor="hyperlink"/>
      <w:u w:val="single"/>
    </w:rPr>
  </w:style>
  <w:style w:type="paragraph" w:styleId="870">
    <w:name w:val="Header"/>
    <w:basedOn w:val="860"/>
    <w:link w:val="87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861"/>
    <w:link w:val="870"/>
    <w:uiPriority w:val="99"/>
  </w:style>
  <w:style w:type="paragraph" w:styleId="872" w:customStyle="1">
    <w:name w:val="ConsPlusNormal"/>
    <w:link w:val="702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873" w:customStyle="1">
    <w:name w:val="Стиль3"/>
    <w:uiPriority w:val="99"/>
    <w:pPr>
      <w:contextualSpacing w:val="0"/>
      <w:ind w:left="180" w:right="0" w:firstLine="0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tabs>
        <w:tab w:val="num" w:pos="407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Р7-Офис/2025.2.1.801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Колода Анна Владимировна</dc:creator>
  <cp:keywords/>
  <dc:description/>
  <cp:lastModifiedBy>muntorgi3</cp:lastModifiedBy>
  <cp:revision>28</cp:revision>
  <dcterms:created xsi:type="dcterms:W3CDTF">2021-12-13T12:55:00Z</dcterms:created>
  <dcterms:modified xsi:type="dcterms:W3CDTF">2025-12-09T09:46:28Z</dcterms:modified>
</cp:coreProperties>
</file>